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Heading1"/>
        <w:numPr>
          <w:ilvl w:val="0"/>
          <w:numId w:val="1"/>
        </w:numPr>
        <w:pBdr>
          <w:top w:space="0" w:sz="0" w:val="nil"/>
          <w:left w:space="0" w:sz="0" w:val="nil"/>
          <w:bottom w:space="0" w:sz="0" w:val="nil"/>
          <w:right w:space="0" w:sz="0" w:val="nil"/>
          <w:between w:space="0" w:sz="0" w:val="nil"/>
        </w:pBdr>
        <w:shd w:fill="auto" w:val="clear"/>
        <w:spacing w:after="100" w:before="160" w:line="240" w:lineRule="auto"/>
        <w:contextualSpacing w:val="1"/>
        <w:rPr>
          <w:b w:val="1"/>
          <w:sz w:val="20"/>
          <w:szCs w:val="20"/>
        </w:rPr>
      </w:pPr>
      <w:bookmarkStart w:colFirst="0" w:colLast="0" w:name="_npbh3hhvao0m" w:id="0"/>
      <w:bookmarkEnd w:id="0"/>
      <w:r w:rsidDel="00000000" w:rsidR="00000000" w:rsidRPr="00000000">
        <w:rPr>
          <w:b w:val="1"/>
          <w:sz w:val="20"/>
          <w:szCs w:val="20"/>
          <w:rtl w:val="0"/>
        </w:rPr>
        <w:t xml:space="preserve">Introduction to Decoupling navigation from course structure requirements</w:t>
        <w:br w:type="textWrapping"/>
      </w:r>
      <w:r w:rsidDel="00000000" w:rsidR="00000000" w:rsidRPr="00000000">
        <w:rPr>
          <w:rtl w:val="0"/>
        </w:rPr>
      </w:r>
    </w:p>
    <w:p w:rsidR="00000000" w:rsidDel="00000000" w:rsidP="00000000" w:rsidRDefault="00000000" w:rsidRPr="00000000">
      <w:pPr>
        <w:pStyle w:val="Heading2"/>
        <w:numPr>
          <w:ilvl w:val="1"/>
          <w:numId w:val="1"/>
        </w:num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1"/>
        <w:rPr>
          <w:b w:val="1"/>
          <w:sz w:val="20"/>
          <w:szCs w:val="20"/>
        </w:rPr>
      </w:pPr>
      <w:bookmarkStart w:colFirst="0" w:colLast="0" w:name="_30j0zll" w:id="1"/>
      <w:bookmarkEnd w:id="1"/>
      <w:r w:rsidDel="00000000" w:rsidR="00000000" w:rsidRPr="00000000">
        <w:rPr>
          <w:b w:val="1"/>
          <w:sz w:val="20"/>
          <w:szCs w:val="20"/>
          <w:rtl w:val="0"/>
        </w:rPr>
        <w:t xml:space="preserve">Purpose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sz w:val="20"/>
          <w:szCs w:val="20"/>
        </w:rPr>
      </w:pPr>
      <w:bookmarkStart w:colFirst="0" w:colLast="0" w:name="_1fob9te" w:id="2"/>
      <w:bookmarkEnd w:id="2"/>
      <w:r w:rsidDel="00000000" w:rsidR="00000000" w:rsidRPr="00000000">
        <w:rPr>
          <w:sz w:val="20"/>
          <w:szCs w:val="20"/>
          <w:rtl w:val="0"/>
        </w:rPr>
        <w:t xml:space="preserve">This document outlines desired enhancements/additions in order to decouple navigation from course structure within Open edX. Allowing learners or course authors to 1) customize pathways as well as 2) determine learner’s pathway dynamically based on behavior and/or assessment of competency is a foundational element to adaptive/personalized learning. </w:t>
      </w:r>
    </w:p>
    <w:p w:rsidR="00000000" w:rsidDel="00000000" w:rsidP="00000000" w:rsidRDefault="00000000" w:rsidRPr="00000000">
      <w:pPr>
        <w:pStyle w:val="Heading2"/>
        <w:numPr>
          <w:ilvl w:val="1"/>
          <w:numId w:val="1"/>
        </w:num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1"/>
        <w:rPr>
          <w:b w:val="1"/>
          <w:sz w:val="20"/>
          <w:szCs w:val="20"/>
        </w:rPr>
      </w:pPr>
      <w:r w:rsidDel="00000000" w:rsidR="00000000" w:rsidRPr="00000000">
        <w:rPr>
          <w:b w:val="1"/>
          <w:sz w:val="20"/>
          <w:szCs w:val="20"/>
          <w:rtl w:val="0"/>
        </w:rPr>
        <w:t xml:space="preserve">Project Scope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rPr>
      </w:pPr>
      <w:r w:rsidDel="00000000" w:rsidR="00000000" w:rsidRPr="00000000">
        <w:rPr>
          <w:color w:val="333333"/>
          <w:sz w:val="20"/>
          <w:szCs w:val="20"/>
          <w:highlight w:val="white"/>
          <w:rtl w:val="0"/>
        </w:rPr>
        <w:t xml:space="preserve">Based on earlier research by Open edX Adaptive Learning Working Group, several use cases have been identified that demonstrate the need to decouple navigation from course structure in order to provide the following functionalities:</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100" w:before="160" w:line="240" w:lineRule="auto"/>
        <w:ind w:left="1440" w:hanging="360"/>
        <w:rPr>
          <w:color w:val="333333"/>
          <w:sz w:val="20"/>
          <w:szCs w:val="20"/>
          <w:highlight w:val="white"/>
        </w:rPr>
      </w:pPr>
      <w:r w:rsidDel="00000000" w:rsidR="00000000" w:rsidRPr="00000000">
        <w:rPr>
          <w:b w:val="1"/>
          <w:color w:val="333333"/>
          <w:sz w:val="20"/>
          <w:szCs w:val="20"/>
          <w:highlight w:val="white"/>
          <w:rtl w:val="0"/>
        </w:rPr>
        <w:t xml:space="preserve">a tailored course experience</w:t>
      </w:r>
      <w:r w:rsidDel="00000000" w:rsidR="00000000" w:rsidRPr="00000000">
        <w:rPr>
          <w:color w:val="333333"/>
          <w:sz w:val="20"/>
          <w:szCs w:val="20"/>
          <w:highlight w:val="white"/>
          <w:rtl w:val="0"/>
        </w:rPr>
        <w:t xml:space="preserve"> for expert participants based on </w:t>
      </w:r>
      <w:r w:rsidDel="00000000" w:rsidR="00000000" w:rsidRPr="00000000">
        <w:rPr>
          <w:color w:val="333333"/>
          <w:sz w:val="20"/>
          <w:szCs w:val="20"/>
          <w:highlight w:val="white"/>
          <w:u w:val="single"/>
          <w:rtl w:val="0"/>
        </w:rPr>
        <w:t xml:space="preserve">pre-assessments</w:t>
      </w:r>
      <w:r w:rsidDel="00000000" w:rsidR="00000000" w:rsidRPr="00000000">
        <w:rPr>
          <w:color w:val="333333"/>
          <w:sz w:val="20"/>
          <w:szCs w:val="20"/>
          <w:highlight w:val="white"/>
          <w:rtl w:val="0"/>
        </w:rPr>
        <w:t xml:space="preserve"> to determine a) existing skills or level, b) learning objectives or c) schedule/availability</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100" w:before="160" w:line="240" w:lineRule="auto"/>
        <w:ind w:left="1440" w:hanging="360"/>
        <w:rPr>
          <w:color w:val="333333"/>
          <w:sz w:val="20"/>
          <w:szCs w:val="20"/>
          <w:highlight w:val="white"/>
        </w:rPr>
      </w:pPr>
      <w:r w:rsidDel="00000000" w:rsidR="00000000" w:rsidRPr="00000000">
        <w:rPr>
          <w:b w:val="1"/>
          <w:color w:val="333333"/>
          <w:sz w:val="20"/>
          <w:szCs w:val="20"/>
          <w:highlight w:val="white"/>
          <w:rtl w:val="0"/>
        </w:rPr>
        <w:t xml:space="preserve">a flexible path</w:t>
      </w:r>
      <w:r w:rsidDel="00000000" w:rsidR="00000000" w:rsidRPr="00000000">
        <w:rPr>
          <w:color w:val="333333"/>
          <w:sz w:val="20"/>
          <w:szCs w:val="20"/>
          <w:highlight w:val="white"/>
          <w:rtl w:val="0"/>
        </w:rPr>
        <w:t xml:space="preserve"> to </w:t>
      </w:r>
      <w:r w:rsidDel="00000000" w:rsidR="00000000" w:rsidRPr="00000000">
        <w:rPr>
          <w:color w:val="333333"/>
          <w:sz w:val="20"/>
          <w:szCs w:val="20"/>
          <w:highlight w:val="white"/>
          <w:u w:val="single"/>
          <w:rtl w:val="0"/>
        </w:rPr>
        <w:t xml:space="preserve">navigate through course material in a non-linear way</w:t>
      </w:r>
      <w:r w:rsidDel="00000000" w:rsidR="00000000" w:rsidRPr="00000000">
        <w:rPr>
          <w:color w:val="333333"/>
          <w:sz w:val="20"/>
          <w:szCs w:val="20"/>
          <w:highlight w:val="white"/>
          <w:rtl w:val="0"/>
        </w:rPr>
        <w:t xml:space="preserve"> thereby allowing to a) see the overall course content, b) create custom learning paths or c) browse content in themed sequence  </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100" w:before="160" w:line="240" w:lineRule="auto"/>
        <w:ind w:left="1440" w:hanging="360"/>
        <w:rPr>
          <w:color w:val="333333"/>
          <w:sz w:val="20"/>
          <w:szCs w:val="20"/>
          <w:highlight w:val="white"/>
        </w:rPr>
      </w:pPr>
      <w:r w:rsidDel="00000000" w:rsidR="00000000" w:rsidRPr="00000000">
        <w:rPr>
          <w:b w:val="1"/>
          <w:color w:val="333333"/>
          <w:sz w:val="20"/>
          <w:szCs w:val="20"/>
          <w:highlight w:val="white"/>
          <w:rtl w:val="0"/>
        </w:rPr>
        <w:t xml:space="preserve">a module based library</w:t>
      </w:r>
      <w:r w:rsidDel="00000000" w:rsidR="00000000" w:rsidRPr="00000000">
        <w:rPr>
          <w:color w:val="333333"/>
          <w:sz w:val="20"/>
          <w:szCs w:val="20"/>
          <w:highlight w:val="white"/>
          <w:rtl w:val="0"/>
        </w:rPr>
        <w:t xml:space="preserve"> (analog to chapters or fully encapsulated topic within a course) to </w:t>
      </w:r>
      <w:r w:rsidDel="00000000" w:rsidR="00000000" w:rsidRPr="00000000">
        <w:rPr>
          <w:color w:val="333333"/>
          <w:sz w:val="20"/>
          <w:szCs w:val="20"/>
          <w:highlight w:val="white"/>
          <w:u w:val="single"/>
          <w:rtl w:val="0"/>
        </w:rPr>
        <w:t xml:space="preserve">index content by list of disciplines or skills </w:t>
      </w:r>
      <w:r w:rsidDel="00000000" w:rsidR="00000000" w:rsidRPr="00000000">
        <w:rPr>
          <w:color w:val="333333"/>
          <w:sz w:val="20"/>
          <w:szCs w:val="20"/>
          <w:highlight w:val="white"/>
          <w:rtl w:val="0"/>
        </w:rPr>
        <w:t xml:space="preserve">that could be validated upon a) project completion or b) learner evaluation</w:t>
      </w:r>
      <w:r w:rsidDel="00000000" w:rsidR="00000000" w:rsidRPr="00000000">
        <w:rPr>
          <w:rFonts w:ascii="MS Mincho" w:cs="MS Mincho" w:eastAsia="MS Mincho" w:hAnsi="MS Mincho"/>
          <w:color w:val="333333"/>
          <w:sz w:val="20"/>
          <w:szCs w:val="20"/>
          <w:highlight w:val="white"/>
          <w:rtl w:val="0"/>
        </w:rPr>
        <w:t xml:space="preserve">  </w:t>
      </w:r>
      <w:r w:rsidDel="00000000" w:rsidR="00000000" w:rsidRPr="00000000">
        <w:rPr>
          <w:rtl w:val="0"/>
        </w:rPr>
      </w:r>
    </w:p>
    <w:p w:rsidR="00000000" w:rsidDel="00000000" w:rsidP="00000000" w:rsidRDefault="00000000" w:rsidRPr="00000000">
      <w:pPr>
        <w:pStyle w:val="Heading2"/>
        <w:numPr>
          <w:ilvl w:val="1"/>
          <w:numId w:val="1"/>
        </w:num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1"/>
        <w:rPr>
          <w:b w:val="1"/>
          <w:sz w:val="20"/>
          <w:szCs w:val="20"/>
        </w:rPr>
      </w:pPr>
      <w:r w:rsidDel="00000000" w:rsidR="00000000" w:rsidRPr="00000000">
        <w:rPr>
          <w:b w:val="1"/>
          <w:sz w:val="20"/>
          <w:szCs w:val="20"/>
          <w:rtl w:val="0"/>
        </w:rPr>
        <w:t xml:space="preserve">References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i w:val="1"/>
          <w:color w:val="999999"/>
          <w:sz w:val="20"/>
          <w:szCs w:val="20"/>
        </w:rPr>
      </w:pPr>
      <w:bookmarkStart w:colFirst="0" w:colLast="0" w:name="_3znysh7" w:id="3"/>
      <w:bookmarkEnd w:id="3"/>
      <w:r w:rsidDel="00000000" w:rsidR="00000000" w:rsidRPr="00000000">
        <w:rPr>
          <w:i w:val="1"/>
          <w:color w:val="999999"/>
          <w:sz w:val="20"/>
          <w:szCs w:val="20"/>
          <w:rtl w:val="0"/>
        </w:rPr>
        <w:t xml:space="preserve">See specific use cases from http://bit.ly/1Zb2s3N for reference:</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100" w:before="160" w:line="240" w:lineRule="auto"/>
        <w:ind w:left="1440" w:hanging="360"/>
        <w:rPr>
          <w:color w:val="333333"/>
          <w:sz w:val="20"/>
          <w:szCs w:val="20"/>
          <w:highlight w:val="white"/>
        </w:rPr>
      </w:pPr>
      <w:r w:rsidDel="00000000" w:rsidR="00000000" w:rsidRPr="00000000">
        <w:rPr>
          <w:color w:val="333333"/>
          <w:sz w:val="20"/>
          <w:szCs w:val="20"/>
          <w:highlight w:val="white"/>
          <w:rtl w:val="0"/>
        </w:rPr>
        <w:t xml:space="preserve">Use Case 1:  Tailor Course Experience for Expert Participants</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100" w:before="160" w:line="240" w:lineRule="auto"/>
        <w:ind w:left="1440" w:hanging="360"/>
        <w:rPr>
          <w:color w:val="333333"/>
          <w:sz w:val="20"/>
          <w:szCs w:val="20"/>
          <w:highlight w:val="white"/>
        </w:rPr>
      </w:pPr>
      <w:r w:rsidDel="00000000" w:rsidR="00000000" w:rsidRPr="00000000">
        <w:rPr>
          <w:color w:val="333333"/>
          <w:sz w:val="20"/>
          <w:szCs w:val="20"/>
          <w:highlight w:val="white"/>
          <w:rtl w:val="0"/>
        </w:rPr>
        <w:t xml:space="preserve">Use Case 3: Flexible Paths Through Course Material</w:t>
      </w:r>
      <w:r w:rsidDel="00000000" w:rsidR="00000000" w:rsidRPr="00000000">
        <w:rPr>
          <w:rFonts w:ascii="MS Mincho" w:cs="MS Mincho" w:eastAsia="MS Mincho" w:hAnsi="MS Mincho"/>
          <w:color w:val="333333"/>
          <w:sz w:val="20"/>
          <w:szCs w:val="20"/>
          <w:highlight w:val="white"/>
          <w:rtl w:val="0"/>
        </w:rPr>
        <w:t xml:space="preserve"> </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100" w:before="160" w:line="240" w:lineRule="auto"/>
        <w:ind w:left="1440" w:hanging="360"/>
        <w:rPr>
          <w:color w:val="333333"/>
          <w:sz w:val="20"/>
          <w:szCs w:val="20"/>
          <w:highlight w:val="white"/>
        </w:rPr>
      </w:pPr>
      <w:r w:rsidDel="00000000" w:rsidR="00000000" w:rsidRPr="00000000">
        <w:rPr>
          <w:color w:val="333333"/>
          <w:sz w:val="20"/>
          <w:szCs w:val="20"/>
          <w:highlight w:val="white"/>
          <w:rtl w:val="0"/>
        </w:rPr>
        <w:t xml:space="preserve">Use Case 9:  Personalized Path Through Module Library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i w:val="1"/>
          <w:color w:val="999999"/>
          <w:sz w:val="20"/>
          <w:szCs w:val="20"/>
        </w:rPr>
      </w:pPr>
      <w:bookmarkStart w:colFirst="0" w:colLast="0" w:name="_3znysh7" w:id="3"/>
      <w:bookmarkEnd w:id="3"/>
      <w:r w:rsidDel="00000000" w:rsidR="00000000" w:rsidRPr="00000000">
        <w:rPr>
          <w:i w:val="1"/>
          <w:color w:val="999999"/>
          <w:sz w:val="20"/>
          <w:szCs w:val="20"/>
          <w:rtl w:val="0"/>
        </w:rPr>
        <w:t xml:space="preserve">See specific use cases from http://bit.ly/1Zb2s3N for reference:</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100" w:before="160" w:line="240" w:lineRule="auto"/>
        <w:ind w:left="1440" w:hanging="360"/>
        <w:rPr>
          <w:color w:val="333333"/>
          <w:sz w:val="20"/>
          <w:szCs w:val="20"/>
          <w:highlight w:val="white"/>
        </w:rPr>
      </w:pPr>
      <w:r w:rsidDel="00000000" w:rsidR="00000000" w:rsidRPr="00000000">
        <w:rPr>
          <w:color w:val="333333"/>
          <w:sz w:val="20"/>
          <w:szCs w:val="20"/>
          <w:highlight w:val="white"/>
          <w:rtl w:val="0"/>
        </w:rPr>
        <w:t xml:space="preserve">Presentation: </w:t>
      </w:r>
      <w:hyperlink r:id="rId6">
        <w:r w:rsidDel="00000000" w:rsidR="00000000" w:rsidRPr="00000000">
          <w:rPr>
            <w:color w:val="1155cc"/>
            <w:highlight w:val="white"/>
            <w:u w:val="single"/>
            <w:rtl w:val="0"/>
          </w:rPr>
          <w:t xml:space="preserve">https://www.dropbox.com/s/lkeyqbymaluans9/20160615_IONISx_Open_edX_Adaptive_Working_Group.pdf?dl=0https://www.dropbox.com/s/lkeyqbymaluans9/20160615_IONISx_Open_edX_Adaptive_Working_Group.pdf?dl=0</w:t>
        </w:r>
      </w:hyperlink>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100" w:before="160" w:line="240" w:lineRule="auto"/>
        <w:ind w:left="1440" w:hanging="360"/>
        <w:rPr>
          <w:color w:val="333333"/>
          <w:sz w:val="20"/>
          <w:szCs w:val="20"/>
          <w:highlight w:val="white"/>
        </w:rPr>
      </w:pPr>
      <w:r w:rsidDel="00000000" w:rsidR="00000000" w:rsidRPr="00000000">
        <w:rPr>
          <w:color w:val="333333"/>
          <w:sz w:val="20"/>
          <w:szCs w:val="20"/>
          <w:highlight w:val="white"/>
          <w:rtl w:val="0"/>
        </w:rPr>
        <w:t xml:space="preserve">Demo: </w:t>
      </w:r>
      <w:hyperlink r:id="rId7">
        <w:r w:rsidDel="00000000" w:rsidR="00000000" w:rsidRPr="00000000">
          <w:rPr>
            <w:color w:val="1155cc"/>
            <w:sz w:val="20"/>
            <w:szCs w:val="20"/>
            <w:highlight w:val="white"/>
            <w:u w:val="single"/>
            <w:rtl w:val="0"/>
          </w:rPr>
          <w:t xml:space="preserve">IONISx - Courses and MiMos.pdf</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contextualSpacing w:val="0"/>
        <w:rPr>
          <w:color w:val="333333"/>
          <w:sz w:val="20"/>
          <w:szCs w:val="20"/>
          <w:highlight w:val="white"/>
        </w:rPr>
      </w:pPr>
      <w:r w:rsidDel="00000000" w:rsidR="00000000" w:rsidRPr="00000000">
        <w:rPr>
          <w:rtl w:val="0"/>
        </w:rPr>
      </w:r>
    </w:p>
    <w:p w:rsidR="00000000" w:rsidDel="00000000" w:rsidP="00000000" w:rsidRDefault="00000000" w:rsidRPr="00000000">
      <w:pPr>
        <w:pStyle w:val="Heading1"/>
        <w:numPr>
          <w:ilvl w:val="0"/>
          <w:numId w:val="1"/>
        </w:numPr>
        <w:pBdr>
          <w:top w:space="0" w:sz="0" w:val="nil"/>
          <w:left w:space="0" w:sz="0" w:val="nil"/>
          <w:bottom w:space="0" w:sz="0" w:val="nil"/>
          <w:right w:space="0" w:sz="0" w:val="nil"/>
          <w:between w:space="0" w:sz="0" w:val="nil"/>
        </w:pBdr>
        <w:shd w:fill="auto" w:val="clear"/>
        <w:spacing w:after="100" w:before="160" w:line="240" w:lineRule="auto"/>
        <w:contextualSpacing w:val="1"/>
        <w:rPr>
          <w:b w:val="1"/>
          <w:sz w:val="20"/>
          <w:szCs w:val="20"/>
        </w:rPr>
      </w:pPr>
      <w:bookmarkStart w:colFirst="0" w:colLast="0" w:name="_q9kkfycka0zj" w:id="4"/>
      <w:bookmarkEnd w:id="4"/>
      <w:r w:rsidDel="00000000" w:rsidR="00000000" w:rsidRPr="00000000">
        <w:rPr>
          <w:b w:val="1"/>
          <w:sz w:val="20"/>
          <w:szCs w:val="20"/>
          <w:rtl w:val="0"/>
        </w:rPr>
        <w:t xml:space="preserve">Overall Description</w:t>
        <w:br w:type="textWrapping"/>
      </w:r>
      <w:r w:rsidDel="00000000" w:rsidR="00000000" w:rsidRPr="00000000">
        <w:rPr>
          <w:rtl w:val="0"/>
        </w:rPr>
      </w:r>
    </w:p>
    <w:p w:rsidR="00000000" w:rsidDel="00000000" w:rsidP="00000000" w:rsidRDefault="00000000" w:rsidRPr="00000000">
      <w:pPr>
        <w:pStyle w:val="Heading2"/>
        <w:numPr>
          <w:ilvl w:val="1"/>
          <w:numId w:val="1"/>
        </w:num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1"/>
        <w:rPr>
          <w:b w:val="1"/>
          <w:sz w:val="20"/>
          <w:szCs w:val="20"/>
        </w:rPr>
      </w:pPr>
      <w:bookmarkStart w:colFirst="0" w:colLast="0" w:name="_1wp0reewf9hy" w:id="5"/>
      <w:bookmarkEnd w:id="5"/>
      <w:r w:rsidDel="00000000" w:rsidR="00000000" w:rsidRPr="00000000">
        <w:rPr>
          <w:b w:val="1"/>
          <w:sz w:val="20"/>
          <w:szCs w:val="20"/>
          <w:rtl w:val="0"/>
        </w:rPr>
        <w:t xml:space="preserve">Product Perspective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sz w:val="20"/>
          <w:szCs w:val="20"/>
        </w:rPr>
      </w:pPr>
      <w:bookmarkStart w:colFirst="0" w:colLast="0" w:name="_ct1k0eolz0fu" w:id="6"/>
      <w:bookmarkEnd w:id="6"/>
      <w:r w:rsidDel="00000000" w:rsidR="00000000" w:rsidRPr="00000000">
        <w:rPr>
          <w:sz w:val="20"/>
          <w:szCs w:val="20"/>
          <w:rtl w:val="0"/>
        </w:rPr>
        <w:t xml:space="preserve">Providing Open edX with mechanisms allowing to decouple navigation from course structure while opening new possibilities to build personalized experiences for learners with flexible paths is necessarily bound to course structure design or redesign.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sz w:val="20"/>
          <w:szCs w:val="20"/>
        </w:rPr>
      </w:pPr>
      <w:bookmarkStart w:colFirst="0" w:colLast="0" w:name="_stc6mhv5zi80" w:id="7"/>
      <w:bookmarkEnd w:id="7"/>
      <w:r w:rsidDel="00000000" w:rsidR="00000000" w:rsidRPr="00000000">
        <w:rPr>
          <w:sz w:val="20"/>
          <w:szCs w:val="20"/>
          <w:rtl w:val="0"/>
        </w:rPr>
        <w:t xml:space="preserve">Currently, Open edX course structure is organized into several levels that form an outline. As such, each course outline is segmented with sections, subsections and units that contain one or more components, such as text with HTML markup, quiz questions, a discussion, or a video.</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sz w:val="20"/>
          <w:szCs w:val="20"/>
        </w:rPr>
      </w:pPr>
      <w:bookmarkStart w:colFirst="0" w:colLast="0" w:name="_dk81ifojqkp8" w:id="8"/>
      <w:bookmarkEnd w:id="8"/>
      <w:r w:rsidDel="00000000" w:rsidR="00000000" w:rsidRPr="00000000">
        <w:rPr>
          <w:sz w:val="20"/>
          <w:szCs w:val="20"/>
          <w:rtl w:val="0"/>
        </w:rPr>
        <w:t xml:space="preserve">If the current course structure is well designed for course content development, it lacks the granularity necessary to customize the learner’s pathway or build it dynamically based on behavior and/or assessment of competency.</w:t>
      </w:r>
    </w:p>
    <w:p w:rsidR="00000000" w:rsidDel="00000000" w:rsidP="00000000" w:rsidRDefault="00000000" w:rsidRPr="00000000">
      <w:pPr>
        <w:pStyle w:val="Heading2"/>
        <w:numPr>
          <w:ilvl w:val="1"/>
          <w:numId w:val="1"/>
        </w:num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1"/>
        <w:rPr>
          <w:b w:val="1"/>
          <w:sz w:val="20"/>
          <w:szCs w:val="20"/>
        </w:rPr>
      </w:pPr>
      <w:r w:rsidDel="00000000" w:rsidR="00000000" w:rsidRPr="00000000">
        <w:rPr>
          <w:b w:val="1"/>
          <w:sz w:val="20"/>
          <w:szCs w:val="20"/>
          <w:rtl w:val="0"/>
        </w:rPr>
        <w:t xml:space="preserve">Product Functions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rPr>
      </w:pPr>
      <w:r w:rsidDel="00000000" w:rsidR="00000000" w:rsidRPr="00000000">
        <w:rPr>
          <w:color w:val="333333"/>
          <w:sz w:val="20"/>
          <w:szCs w:val="20"/>
          <w:highlight w:val="white"/>
          <w:rtl w:val="0"/>
        </w:rPr>
        <w:t xml:space="preserve">Developing courses is an essential aspect of pedagogical models to teach new knowledge, skills or qualifications. While the process of course development has long been a manual exercise for teachers and educational organizations, the need for tailored or personalized experiences -- taking into account a learner’s background, educational and professional objectives or progress -- requires rethinking course development design. It must become more dynamic, thereby allowing further adaptive learning processing.</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100" w:before="160" w:line="240" w:lineRule="auto"/>
        <w:ind w:left="1440" w:hanging="360"/>
        <w:rPr>
          <w:color w:val="333333"/>
          <w:sz w:val="20"/>
          <w:szCs w:val="20"/>
          <w:highlight w:val="white"/>
        </w:rPr>
      </w:pPr>
      <w:r w:rsidDel="00000000" w:rsidR="00000000" w:rsidRPr="00000000">
        <w:rPr>
          <w:b w:val="1"/>
          <w:color w:val="333333"/>
          <w:sz w:val="20"/>
          <w:szCs w:val="20"/>
          <w:highlight w:val="white"/>
          <w:rtl w:val="0"/>
        </w:rPr>
        <w:t xml:space="preserve">MicroModules:</w:t>
      </w:r>
      <w:r w:rsidDel="00000000" w:rsidR="00000000" w:rsidRPr="00000000">
        <w:rPr>
          <w:color w:val="333333"/>
          <w:sz w:val="20"/>
          <w:szCs w:val="20"/>
          <w:highlight w:val="white"/>
          <w:rtl w:val="0"/>
        </w:rPr>
        <w:t xml:space="preserve"> The basic element of any course or pathway shall be a self-sufficient MicroModule that may be tagged by discipline, skill or difficulty. </w:t>
      </w:r>
      <w:r w:rsidDel="00000000" w:rsidR="00000000" w:rsidRPr="00000000">
        <w:rPr>
          <w:color w:val="333333"/>
          <w:sz w:val="20"/>
          <w:szCs w:val="20"/>
          <w:highlight w:val="white"/>
          <w:rtl w:val="0"/>
        </w:rPr>
        <w:t xml:space="preserve">Similar to an Open edX course </w:t>
      </w:r>
      <w:r w:rsidDel="00000000" w:rsidR="00000000" w:rsidRPr="00000000">
        <w:rPr>
          <w:color w:val="333333"/>
          <w:sz w:val="20"/>
          <w:szCs w:val="20"/>
          <w:highlight w:val="white"/>
          <w:rtl w:val="0"/>
        </w:rPr>
        <w:t xml:space="preserve">Section</w:t>
      </w:r>
      <w:r w:rsidDel="00000000" w:rsidR="00000000" w:rsidRPr="00000000">
        <w:rPr>
          <w:color w:val="333333"/>
          <w:sz w:val="20"/>
          <w:szCs w:val="20"/>
          <w:highlight w:val="white"/>
          <w:rtl w:val="0"/>
        </w:rPr>
        <w:t xml:space="preserve">, MicroModules </w:t>
      </w:r>
      <w:r w:rsidDel="00000000" w:rsidR="00000000" w:rsidRPr="00000000">
        <w:rPr>
          <w:color w:val="333333"/>
          <w:sz w:val="20"/>
          <w:szCs w:val="20"/>
          <w:highlight w:val="white"/>
          <w:rtl w:val="0"/>
        </w:rPr>
        <w:t xml:space="preserve">may contain one or more </w:t>
      </w:r>
      <w:r w:rsidDel="00000000" w:rsidR="00000000" w:rsidRPr="00000000">
        <w:rPr>
          <w:color w:val="333333"/>
          <w:sz w:val="20"/>
          <w:szCs w:val="20"/>
          <w:highlight w:val="white"/>
          <w:rtl w:val="0"/>
        </w:rPr>
        <w:t xml:space="preserve">Subsections but not more than a single topic in a course, or another organizing principle. While Sections in Open edX are sometimes called “lessons” that might represent a </w:t>
      </w:r>
      <w:r w:rsidDel="00000000" w:rsidR="00000000" w:rsidRPr="00000000">
        <w:rPr>
          <w:color w:val="333333"/>
          <w:sz w:val="20"/>
          <w:szCs w:val="20"/>
          <w:highlight w:val="white"/>
          <w:rtl w:val="0"/>
        </w:rPr>
        <w:t xml:space="preserve">week’s</w:t>
      </w:r>
      <w:r w:rsidDel="00000000" w:rsidR="00000000" w:rsidRPr="00000000">
        <w:rPr>
          <w:color w:val="333333"/>
          <w:sz w:val="20"/>
          <w:szCs w:val="20"/>
          <w:highlight w:val="white"/>
          <w:rtl w:val="0"/>
        </w:rPr>
        <w:t xml:space="preserve"> worth of material, MicroModules should be much less ambitious and constrained. They should be composed of items totalling no more than 20-30 minutes worth of material. Not just 20-30 minutes of video time, but rather 20-30 minutes of summary, video, practical work, self-corrected exercises, guidance, discussion forums, etc. A MiMo should always end with an automatically corrected quiz, </w:t>
      </w:r>
      <w:r w:rsidDel="00000000" w:rsidR="00000000" w:rsidRPr="00000000">
        <w:rPr>
          <w:sz w:val="20"/>
          <w:szCs w:val="20"/>
          <w:rtl w:val="0"/>
        </w:rPr>
        <w:t xml:space="preserve">with which the learner can evaluate whether he or she has learned the material.</w:t>
      </w:r>
      <w:r w:rsidDel="00000000" w:rsidR="00000000" w:rsidRPr="00000000">
        <w:rPr>
          <w:color w:val="333333"/>
          <w:sz w:val="20"/>
          <w:szCs w:val="20"/>
          <w:highlight w:val="white"/>
          <w:rtl w:val="0"/>
        </w:rPr>
        <w:br w:type="textWrapping"/>
        <w:br w:type="textWrapping"/>
      </w:r>
      <w:r w:rsidDel="00000000" w:rsidR="00000000" w:rsidRPr="00000000">
        <w:rPr>
          <w:color w:val="333333"/>
          <w:sz w:val="20"/>
          <w:szCs w:val="20"/>
          <w:highlight w:val="white"/>
          <w:rtl w:val="0"/>
        </w:rPr>
        <w:t xml:space="preserve">Though subject to debate, a 20-30 minute timescale</w:t>
      </w:r>
      <w:r w:rsidDel="00000000" w:rsidR="00000000" w:rsidRPr="00000000">
        <w:rPr>
          <w:color w:val="333333"/>
          <w:sz w:val="20"/>
          <w:szCs w:val="20"/>
          <w:highlight w:val="white"/>
          <w:rtl w:val="0"/>
        </w:rPr>
        <w:t xml:space="preserve"> has been defined as the appropriate length of a MicroModule </w:t>
      </w:r>
      <w:r w:rsidDel="00000000" w:rsidR="00000000" w:rsidRPr="00000000">
        <w:rPr>
          <w:color w:val="333333"/>
          <w:sz w:val="20"/>
          <w:szCs w:val="20"/>
          <w:highlight w:val="white"/>
          <w:rtl w:val="0"/>
        </w:rPr>
        <w:t xml:space="preserve">after surveying learners</w:t>
      </w:r>
      <w:r w:rsidDel="00000000" w:rsidR="00000000" w:rsidRPr="00000000">
        <w:rPr>
          <w:color w:val="333333"/>
          <w:sz w:val="20"/>
          <w:szCs w:val="20"/>
          <w:highlight w:val="white"/>
          <w:rtl w:val="0"/>
        </w:rPr>
        <w:t xml:space="preserve">. Given that 80% of them are currently employed, it is an appropriate timeframe for a subway ride, a short commuter journey, or a period of study on an in-car system. Basically, a MicroModule should be short enough to consume on the go, but long enough to grasp a pedagogical notion.</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100" w:before="160" w:line="240" w:lineRule="auto"/>
        <w:ind w:left="1440" w:hanging="360"/>
        <w:rPr>
          <w:color w:val="333333"/>
          <w:sz w:val="20"/>
          <w:szCs w:val="20"/>
          <w:highlight w:val="white"/>
        </w:rPr>
      </w:pPr>
      <w:r w:rsidDel="00000000" w:rsidR="00000000" w:rsidRPr="00000000">
        <w:rPr>
          <w:b w:val="1"/>
          <w:color w:val="333333"/>
          <w:sz w:val="20"/>
          <w:szCs w:val="20"/>
          <w:highlight w:val="white"/>
          <w:rtl w:val="0"/>
        </w:rPr>
        <w:t xml:space="preserve">Pathways</w:t>
      </w:r>
      <w:r w:rsidDel="00000000" w:rsidR="00000000" w:rsidRPr="00000000">
        <w:rPr>
          <w:b w:val="1"/>
          <w:color w:val="333333"/>
          <w:sz w:val="20"/>
          <w:szCs w:val="20"/>
          <w:highlight w:val="white"/>
          <w:rtl w:val="0"/>
        </w:rPr>
        <w:t xml:space="preserve">: </w:t>
      </w:r>
      <w:r w:rsidDel="00000000" w:rsidR="00000000" w:rsidRPr="00000000">
        <w:rPr>
          <w:color w:val="333333"/>
          <w:sz w:val="20"/>
          <w:szCs w:val="20"/>
          <w:highlight w:val="white"/>
          <w:rtl w:val="0"/>
        </w:rPr>
        <w:t xml:space="preserve">Pathways are essentially courses that have been developed manually or dynamically by assembling MicroModules. From a pedagogical point of view, a course author should be able to design pathways with a content structure that allows grouping pieces of courses, otherwise known as </w:t>
      </w:r>
      <w:r w:rsidDel="00000000" w:rsidR="00000000" w:rsidRPr="00000000">
        <w:rPr>
          <w:b w:val="1"/>
          <w:color w:val="333333"/>
          <w:sz w:val="20"/>
          <w:szCs w:val="20"/>
          <w:highlight w:val="white"/>
          <w:rtl w:val="0"/>
        </w:rPr>
        <w:t xml:space="preserve">MicroModules</w:t>
      </w:r>
      <w:r w:rsidDel="00000000" w:rsidR="00000000" w:rsidRPr="00000000">
        <w:rPr>
          <w:color w:val="333333"/>
          <w:sz w:val="20"/>
          <w:szCs w:val="20"/>
          <w:highlight w:val="white"/>
          <w:rtl w:val="0"/>
        </w:rPr>
        <w:t xml:space="preserve">, and </w:t>
      </w:r>
      <w:r w:rsidDel="00000000" w:rsidR="00000000" w:rsidRPr="00000000">
        <w:rPr>
          <w:b w:val="1"/>
          <w:color w:val="333333"/>
          <w:sz w:val="20"/>
          <w:szCs w:val="20"/>
          <w:highlight w:val="white"/>
          <w:rtl w:val="0"/>
        </w:rPr>
        <w:t xml:space="preserve">additional content</w:t>
      </w:r>
      <w:r w:rsidDel="00000000" w:rsidR="00000000" w:rsidRPr="00000000">
        <w:rPr>
          <w:color w:val="333333"/>
          <w:sz w:val="20"/>
          <w:szCs w:val="20"/>
          <w:highlight w:val="white"/>
          <w:rtl w:val="0"/>
        </w:rPr>
        <w:t xml:space="preserve"> in sequences to form a relevant course pathway. </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100" w:before="160" w:line="240" w:lineRule="auto"/>
        <w:ind w:left="1440" w:hanging="360"/>
        <w:rPr>
          <w:color w:val="333333"/>
          <w:sz w:val="20"/>
          <w:szCs w:val="20"/>
          <w:highlight w:val="white"/>
        </w:rPr>
      </w:pPr>
      <w:r w:rsidDel="00000000" w:rsidR="00000000" w:rsidRPr="00000000">
        <w:rPr>
          <w:b w:val="1"/>
          <w:color w:val="333333"/>
          <w:sz w:val="20"/>
          <w:szCs w:val="20"/>
          <w:highlight w:val="white"/>
          <w:rtl w:val="0"/>
        </w:rPr>
        <w:t xml:space="preserve">Additional content</w:t>
      </w:r>
      <w:r w:rsidDel="00000000" w:rsidR="00000000" w:rsidRPr="00000000">
        <w:rPr>
          <w:color w:val="333333"/>
          <w:sz w:val="20"/>
          <w:szCs w:val="20"/>
          <w:highlight w:val="white"/>
          <w:rtl w:val="0"/>
        </w:rPr>
        <w:t xml:space="preserve">: As part of a pathway structure, additional content may be included prior to or after individual MicroModules to enhance the user experience and organize the learner’s journey. Examples of additional content may include: chapters, notes, exams, milestones, certificates, etc… that may lock/unlock access to subsequent pathway content or trigger changes in the learner pathway. </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100" w:before="160" w:line="240" w:lineRule="auto"/>
        <w:ind w:left="1440" w:hanging="360"/>
        <w:rPr>
          <w:color w:val="333333"/>
          <w:sz w:val="20"/>
          <w:szCs w:val="20"/>
          <w:highlight w:val="white"/>
        </w:rPr>
      </w:pPr>
      <w:r w:rsidDel="00000000" w:rsidR="00000000" w:rsidRPr="00000000">
        <w:rPr>
          <w:b w:val="1"/>
          <w:color w:val="333333"/>
          <w:sz w:val="20"/>
          <w:szCs w:val="20"/>
          <w:highlight w:val="white"/>
          <w:rtl w:val="0"/>
        </w:rPr>
        <w:t xml:space="preserve">MicroModule-based libraries:</w:t>
      </w:r>
      <w:r w:rsidDel="00000000" w:rsidR="00000000" w:rsidRPr="00000000">
        <w:rPr>
          <w:color w:val="333333"/>
          <w:sz w:val="20"/>
          <w:szCs w:val="20"/>
          <w:highlight w:val="white"/>
          <w:rtl w:val="0"/>
        </w:rPr>
        <w:t xml:space="preserve"> With MicroModules as the basic elements of any course or pathway, MicroModule-based libraries may be generated to index content by list of disciplines, skills or levels. Furthermore, these MicroModule-based libraries may be reorganized dynamically if triggered by an event such as a project completion or learner evaluation  .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rPr>
      </w:pPr>
      <w:r w:rsidDel="00000000" w:rsidR="00000000" w:rsidRPr="00000000">
        <w:rPr>
          <w:color w:val="333333"/>
          <w:sz w:val="20"/>
          <w:szCs w:val="20"/>
          <w:highlight w:val="white"/>
          <w:rtl w:val="0"/>
        </w:rPr>
        <w:t xml:space="preserve">Building and running an edX Course is at the core of Open edX development platform. While the current architecture provides a sophisticated outline tailored for most organisations running MOOCs, revisiting course structure is essential for decoupling navigation to provide tailored course experience with flexible paths, thereby meeting adaptive learning working group objectives.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b w:val="1"/>
          <w:color w:val="333333"/>
          <w:sz w:val="20"/>
          <w:szCs w:val="20"/>
          <w:highlight w:val="white"/>
        </w:rPr>
      </w:pPr>
      <w:r w:rsidDel="00000000" w:rsidR="00000000" w:rsidRPr="00000000">
        <w:rPr>
          <w:b w:val="1"/>
          <w:color w:val="333333"/>
          <w:sz w:val="20"/>
          <w:szCs w:val="20"/>
          <w:highlight w:val="white"/>
          <w:rtl w:val="0"/>
        </w:rPr>
        <w:t xml:space="preserve">Pedagogical setup of a pathway / course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u w:val="single"/>
        </w:rPr>
      </w:pPr>
      <w:r w:rsidDel="00000000" w:rsidR="00000000" w:rsidRPr="00000000">
        <w:rPr>
          <w:color w:val="333333"/>
          <w:sz w:val="20"/>
          <w:szCs w:val="20"/>
          <w:highlight w:val="white"/>
          <w:u w:val="single"/>
          <w:rtl w:val="0"/>
        </w:rPr>
        <w:t xml:space="preserve">Composition of the pathway / course: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rPr>
      </w:pPr>
      <w:r w:rsidDel="00000000" w:rsidR="00000000" w:rsidRPr="00000000">
        <w:rPr>
          <w:color w:val="333333"/>
          <w:sz w:val="20"/>
          <w:szCs w:val="20"/>
          <w:highlight w:val="white"/>
          <w:rtl w:val="0"/>
        </w:rPr>
        <w:t xml:space="preserve">Below is an example of a pedagogical model or educational program that determines the learning progress otherwise know as a pathway. This pathway is structured using a set of MicroModules, each providing individual pieces of learning material (text, video, quiz, etc). Additional content such as exams or evaluations may be added along the track to continually assess and adapt the pathway to the learner's progress. An acquired skillset of competencies may reward the learner with a form of recognition (certificates, badges, percentage of completion of the program, etc).</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contextualSpacing w:val="0"/>
        <w:rPr>
          <w:color w:val="333333"/>
          <w:sz w:val="20"/>
          <w:szCs w:val="20"/>
          <w:highlight w:val="white"/>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u w:val="single"/>
        </w:rPr>
      </w:pPr>
      <w:r w:rsidDel="00000000" w:rsidR="00000000" w:rsidRPr="00000000">
        <w:rPr>
          <w:color w:val="333333"/>
          <w:sz w:val="20"/>
          <w:szCs w:val="20"/>
          <w:highlight w:val="white"/>
          <w:u w:val="single"/>
          <w:rtl w:val="0"/>
        </w:rPr>
        <w:t xml:space="preserve">Skills Matrix of the pathway / course: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rPr>
      </w:pPr>
      <w:r w:rsidDel="00000000" w:rsidR="00000000" w:rsidRPr="00000000">
        <w:rPr>
          <w:color w:val="333333"/>
          <w:sz w:val="20"/>
          <w:szCs w:val="20"/>
          <w:highlight w:val="white"/>
          <w:rtl w:val="0"/>
        </w:rPr>
        <w:t xml:space="preserve">Skills and competencies are an essential part of pathway / course design: they enable assessment of a learner’s progress. In order to tailor pathway composition to a learner’s level or achievements, skills metrics shall be added to each MicroModule setting. As a result, individual MicroModules may be dynamically added, removed or accounted for in a learner’s pathway. Another example would be to initially assess a learner’s knowledge or skillset and subsequently adapt the learner’s pathway. Also, this would permit the assessment of exactly which modules should be studied, and the construction of custom pathways to obtain certain qualifications or skillsets.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u w:val="single"/>
        </w:rPr>
      </w:pPr>
      <w:r w:rsidDel="00000000" w:rsidR="00000000" w:rsidRPr="00000000">
        <w:rPr>
          <w:color w:val="333333"/>
          <w:sz w:val="20"/>
          <w:szCs w:val="20"/>
          <w:highlight w:val="white"/>
          <w:u w:val="single"/>
          <w:rtl w:val="0"/>
        </w:rPr>
        <w:t xml:space="preserve">Milestones of the pathway / course: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rPr>
      </w:pPr>
      <w:r w:rsidDel="00000000" w:rsidR="00000000" w:rsidRPr="00000000">
        <w:rPr>
          <w:color w:val="333333"/>
          <w:sz w:val="20"/>
          <w:szCs w:val="20"/>
          <w:highlight w:val="white"/>
          <w:rtl w:val="0"/>
        </w:rPr>
        <w:t xml:space="preserve">Assessing knowledge and setting milestones along a learner’s track is a key part of evaluating a learner’s progress. </w:t>
      </w:r>
      <w:r w:rsidDel="00000000" w:rsidR="00000000" w:rsidRPr="00000000">
        <w:rPr>
          <w:color w:val="333333"/>
          <w:sz w:val="20"/>
          <w:szCs w:val="20"/>
          <w:highlight w:val="white"/>
          <w:rtl w:val="0"/>
        </w:rPr>
        <w:t xml:space="preserve">Milestones may be achieved by successfully completing MicroModules’ self-contained evaluations or by taking individual assessments as part of an additional content within a pathway.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contextualSpacing w:val="0"/>
        <w:rPr>
          <w:color w:val="333333"/>
          <w:sz w:val="20"/>
          <w:szCs w:val="20"/>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b w:val="1"/>
          <w:color w:val="333333"/>
          <w:sz w:val="20"/>
          <w:szCs w:val="20"/>
          <w:highlight w:val="white"/>
        </w:rPr>
      </w:pPr>
      <w:r w:rsidDel="00000000" w:rsidR="00000000" w:rsidRPr="00000000">
        <w:rPr>
          <w:b w:val="1"/>
          <w:color w:val="333333"/>
          <w:sz w:val="20"/>
          <w:szCs w:val="20"/>
          <w:highlight w:val="white"/>
          <w:rtl w:val="0"/>
        </w:rPr>
        <w:t xml:space="preserve">Back Office setup of a pathway / course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u w:val="single"/>
        </w:rPr>
      </w:pPr>
      <w:r w:rsidDel="00000000" w:rsidR="00000000" w:rsidRPr="00000000">
        <w:rPr>
          <w:color w:val="333333"/>
          <w:sz w:val="20"/>
          <w:szCs w:val="20"/>
          <w:highlight w:val="white"/>
          <w:u w:val="single"/>
          <w:rtl w:val="0"/>
        </w:rPr>
        <w:t xml:space="preserve">Pathway / Course settings and basic info:</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rPr>
      </w:pPr>
      <w:r w:rsidDel="00000000" w:rsidR="00000000" w:rsidRPr="00000000">
        <w:rPr>
          <w:color w:val="333333"/>
          <w:sz w:val="20"/>
          <w:szCs w:val="20"/>
          <w:highlight w:val="white"/>
        </w:rPr>
        <w:drawing>
          <wp:inline distB="114300" distT="114300" distL="114300" distR="114300">
            <wp:extent cx="5800725" cy="3324225"/>
            <wp:effectExtent b="0" l="0" r="0" t="0"/>
            <wp:docPr id="6"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5800725" cy="3324225"/>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u w:val="single"/>
        </w:rPr>
      </w:pPr>
      <w:r w:rsidDel="00000000" w:rsidR="00000000" w:rsidRPr="00000000">
        <w:rPr>
          <w:color w:val="333333"/>
          <w:sz w:val="20"/>
          <w:szCs w:val="20"/>
          <w:highlight w:val="white"/>
          <w:u w:val="single"/>
          <w:rtl w:val="0"/>
        </w:rPr>
        <w:t xml:space="preserve">Composition of the pathway / course: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rPr>
      </w:pPr>
      <w:r w:rsidDel="00000000" w:rsidR="00000000" w:rsidRPr="00000000">
        <w:rPr>
          <w:color w:val="333333"/>
          <w:sz w:val="20"/>
          <w:szCs w:val="20"/>
          <w:highlight w:val="white"/>
        </w:rPr>
        <w:drawing>
          <wp:inline distB="114300" distT="114300" distL="114300" distR="114300">
            <wp:extent cx="5753100" cy="3324225"/>
            <wp:effectExtent b="0" l="0" r="0" t="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753100" cy="3324225"/>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b w:val="1"/>
          <w:color w:val="333333"/>
          <w:sz w:val="20"/>
          <w:szCs w:val="20"/>
          <w:highlight w:val="white"/>
        </w:rPr>
      </w:pPr>
      <w:r w:rsidDel="00000000" w:rsidR="00000000" w:rsidRPr="00000000">
        <w:rPr>
          <w:b w:val="1"/>
          <w:color w:val="333333"/>
          <w:sz w:val="20"/>
          <w:szCs w:val="20"/>
          <w:highlight w:val="white"/>
          <w:rtl w:val="0"/>
        </w:rPr>
        <w:t xml:space="preserve">Back Office setup of a MicroModule (MiMo)</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u w:val="single"/>
        </w:rPr>
      </w:pPr>
      <w:r w:rsidDel="00000000" w:rsidR="00000000" w:rsidRPr="00000000">
        <w:rPr>
          <w:color w:val="333333"/>
          <w:sz w:val="20"/>
          <w:szCs w:val="20"/>
          <w:highlight w:val="white"/>
          <w:u w:val="single"/>
          <w:rtl w:val="0"/>
        </w:rPr>
        <w:t xml:space="preserve">MicroModule settings and basic info:</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rPr>
      </w:pPr>
      <w:r w:rsidDel="00000000" w:rsidR="00000000" w:rsidRPr="00000000">
        <w:rPr>
          <w:color w:val="333333"/>
          <w:sz w:val="20"/>
          <w:szCs w:val="20"/>
          <w:highlight w:val="white"/>
        </w:rPr>
        <w:drawing>
          <wp:inline distB="114300" distT="114300" distL="114300" distR="114300">
            <wp:extent cx="5772150" cy="3305175"/>
            <wp:effectExtent b="0" l="0" r="0" t="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72150" cy="3305175"/>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u w:val="single"/>
        </w:rPr>
      </w:pPr>
      <w:r w:rsidDel="00000000" w:rsidR="00000000" w:rsidRPr="00000000">
        <w:rPr>
          <w:color w:val="333333"/>
          <w:sz w:val="20"/>
          <w:szCs w:val="20"/>
          <w:highlight w:val="white"/>
          <w:u w:val="single"/>
          <w:rtl w:val="0"/>
        </w:rPr>
        <w:t xml:space="preserve">Pathways / Courses in which a MicroModule is included: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rPr>
      </w:pPr>
      <w:r w:rsidDel="00000000" w:rsidR="00000000" w:rsidRPr="00000000">
        <w:rPr>
          <w:color w:val="333333"/>
          <w:sz w:val="20"/>
          <w:szCs w:val="20"/>
          <w:highlight w:val="white"/>
        </w:rPr>
        <w:drawing>
          <wp:inline distB="114300" distT="114300" distL="114300" distR="114300">
            <wp:extent cx="5781675" cy="3333750"/>
            <wp:effectExtent b="0" l="0" r="0" t="0"/>
            <wp:docPr id="3"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781675" cy="333375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b w:val="1"/>
          <w:color w:val="333333"/>
          <w:sz w:val="20"/>
          <w:szCs w:val="20"/>
          <w:highlight w:val="white"/>
        </w:rPr>
      </w:pPr>
      <w:r w:rsidDel="00000000" w:rsidR="00000000" w:rsidRPr="00000000">
        <w:rPr>
          <w:b w:val="1"/>
          <w:color w:val="333333"/>
          <w:sz w:val="20"/>
          <w:szCs w:val="20"/>
          <w:highlight w:val="white"/>
          <w:rtl w:val="0"/>
        </w:rPr>
        <w:t xml:space="preserve">What the learner sees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u w:val="single"/>
        </w:rPr>
      </w:pPr>
      <w:r w:rsidDel="00000000" w:rsidR="00000000" w:rsidRPr="00000000">
        <w:rPr>
          <w:color w:val="333333"/>
          <w:sz w:val="20"/>
          <w:szCs w:val="20"/>
          <w:highlight w:val="white"/>
          <w:u w:val="single"/>
          <w:rtl w:val="0"/>
        </w:rPr>
        <w:t xml:space="preserve">Learner’s view of the pathway / course material: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rPr>
      </w:pPr>
      <w:r w:rsidDel="00000000" w:rsidR="00000000" w:rsidRPr="00000000">
        <w:rPr>
          <w:color w:val="333333"/>
          <w:sz w:val="20"/>
          <w:szCs w:val="20"/>
          <w:highlight w:val="white"/>
        </w:rPr>
        <w:drawing>
          <wp:inline distB="114300" distT="114300" distL="114300" distR="114300">
            <wp:extent cx="5829300" cy="3324225"/>
            <wp:effectExtent b="0" l="0" r="0" t="0"/>
            <wp:docPr id="4"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829300" cy="3324225"/>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u w:val="single"/>
        </w:rPr>
      </w:pPr>
      <w:r w:rsidDel="00000000" w:rsidR="00000000" w:rsidRPr="00000000">
        <w:rPr>
          <w:color w:val="333333"/>
          <w:sz w:val="20"/>
          <w:szCs w:val="20"/>
          <w:highlight w:val="white"/>
          <w:u w:val="single"/>
          <w:rtl w:val="0"/>
        </w:rPr>
        <w:t xml:space="preserve">Learner’s view of the MicroModule: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rPr>
      </w:pPr>
      <w:r w:rsidDel="00000000" w:rsidR="00000000" w:rsidRPr="00000000">
        <w:rPr>
          <w:color w:val="333333"/>
          <w:sz w:val="20"/>
          <w:szCs w:val="20"/>
          <w:highlight w:val="white"/>
          <w:rtl w:val="0"/>
        </w:rPr>
        <w:t xml:space="preserve">Example of a MicroModule that represents a single topic in a course </w:t>
      </w:r>
      <w:r w:rsidDel="00000000" w:rsidR="00000000" w:rsidRPr="00000000">
        <w:rPr>
          <w:color w:val="333333"/>
          <w:sz w:val="20"/>
          <w:szCs w:val="20"/>
          <w:highlight w:val="white"/>
          <w:rtl w:val="0"/>
        </w:rPr>
        <w:t xml:space="preserve">(structured as a single course/section with several subsections, each of which has a single unit)</w:t>
      </w:r>
      <w:r w:rsidDel="00000000" w:rsidR="00000000" w:rsidRPr="00000000">
        <w:rPr>
          <w:color w:val="333333"/>
          <w:sz w:val="20"/>
          <w:szCs w:val="20"/>
          <w:highlight w:val="white"/>
          <w:rtl w:val="0"/>
        </w:rPr>
        <w:t xml:space="preserve">  with components that may be consumed in no more than 20-30 minutes.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color w:val="333333"/>
          <w:sz w:val="20"/>
          <w:szCs w:val="20"/>
          <w:highlight w:val="white"/>
        </w:rPr>
      </w:pPr>
      <w:r w:rsidDel="00000000" w:rsidR="00000000" w:rsidRPr="00000000">
        <w:rPr>
          <w:color w:val="333333"/>
          <w:sz w:val="20"/>
          <w:szCs w:val="20"/>
          <w:highlight w:val="white"/>
        </w:rPr>
        <w:drawing>
          <wp:inline distB="114300" distT="114300" distL="114300" distR="114300">
            <wp:extent cx="5943600" cy="3746500"/>
            <wp:effectExtent b="0" l="0" r="0" t="0"/>
            <wp:docPr id="5"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943600" cy="37465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contextualSpacing w:val="0"/>
        <w:rPr>
          <w:color w:val="333333"/>
          <w:sz w:val="20"/>
          <w:szCs w:val="20"/>
          <w:highlight w:val="white"/>
        </w:rPr>
      </w:pPr>
      <w:r w:rsidDel="00000000" w:rsidR="00000000" w:rsidRPr="00000000">
        <w:rPr>
          <w:color w:val="333333"/>
          <w:sz w:val="20"/>
          <w:szCs w:val="20"/>
          <w:highlight w:val="white"/>
          <w:rtl w:val="0"/>
        </w:rPr>
        <w:t xml:space="preserve"> </w:t>
      </w:r>
    </w:p>
    <w:p w:rsidR="00000000" w:rsidDel="00000000" w:rsidP="00000000" w:rsidRDefault="00000000" w:rsidRPr="00000000">
      <w:pPr>
        <w:pStyle w:val="Heading2"/>
        <w:numPr>
          <w:ilvl w:val="1"/>
          <w:numId w:val="1"/>
        </w:num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1"/>
        <w:rPr>
          <w:b w:val="1"/>
          <w:sz w:val="20"/>
          <w:szCs w:val="20"/>
        </w:rPr>
      </w:pPr>
      <w:bookmarkStart w:colFirst="0" w:colLast="0" w:name="_bm9d8iz358gr" w:id="9"/>
      <w:bookmarkEnd w:id="9"/>
      <w:r w:rsidDel="00000000" w:rsidR="00000000" w:rsidRPr="00000000">
        <w:rPr>
          <w:b w:val="1"/>
          <w:sz w:val="20"/>
          <w:szCs w:val="20"/>
          <w:rtl w:val="0"/>
        </w:rPr>
        <w:t xml:space="preserve">Operating Environment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Rule="auto"/>
        <w:ind w:left="720" w:firstLine="0"/>
        <w:contextualSpacing w:val="0"/>
        <w:rPr>
          <w:sz w:val="20"/>
          <w:szCs w:val="20"/>
        </w:rPr>
      </w:pPr>
      <w:r w:rsidDel="00000000" w:rsidR="00000000" w:rsidRPr="00000000">
        <w:rPr>
          <w:sz w:val="20"/>
          <w:szCs w:val="20"/>
          <w:rtl w:val="0"/>
        </w:rPr>
        <w:t xml:space="preserve">TBD </w:t>
      </w:r>
    </w:p>
    <w:p w:rsidR="00000000" w:rsidDel="00000000" w:rsidP="00000000" w:rsidRDefault="00000000" w:rsidRPr="00000000">
      <w:pPr>
        <w:pStyle w:val="Heading2"/>
        <w:numPr>
          <w:ilvl w:val="1"/>
          <w:numId w:val="1"/>
        </w:num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1"/>
        <w:rPr>
          <w:b w:val="1"/>
          <w:sz w:val="20"/>
          <w:szCs w:val="20"/>
        </w:rPr>
      </w:pPr>
      <w:bookmarkStart w:colFirst="0" w:colLast="0" w:name="_uguv5cbnazk9" w:id="10"/>
      <w:bookmarkEnd w:id="10"/>
      <w:r w:rsidDel="00000000" w:rsidR="00000000" w:rsidRPr="00000000">
        <w:rPr>
          <w:b w:val="1"/>
          <w:sz w:val="20"/>
          <w:szCs w:val="20"/>
          <w:rtl w:val="0"/>
        </w:rPr>
        <w:t xml:space="preserve">Design and Implementation Constraints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Rule="auto"/>
        <w:ind w:left="720" w:firstLine="0"/>
        <w:contextualSpacing w:val="0"/>
        <w:rPr>
          <w:sz w:val="20"/>
          <w:szCs w:val="20"/>
        </w:rPr>
      </w:pPr>
      <w:r w:rsidDel="00000000" w:rsidR="00000000" w:rsidRPr="00000000">
        <w:rPr>
          <w:sz w:val="20"/>
          <w:szCs w:val="20"/>
          <w:rtl w:val="0"/>
        </w:rPr>
        <w:t xml:space="preserve">TBD</w:t>
      </w:r>
    </w:p>
    <w:p w:rsidR="00000000" w:rsidDel="00000000" w:rsidP="00000000" w:rsidRDefault="00000000" w:rsidRPr="00000000">
      <w:pPr>
        <w:pStyle w:val="Heading2"/>
        <w:numPr>
          <w:ilvl w:val="1"/>
          <w:numId w:val="1"/>
        </w:num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1"/>
        <w:rPr>
          <w:b w:val="1"/>
          <w:sz w:val="20"/>
          <w:szCs w:val="20"/>
        </w:rPr>
      </w:pPr>
      <w:bookmarkStart w:colFirst="0" w:colLast="0" w:name="_18dgy3u0m737" w:id="11"/>
      <w:bookmarkEnd w:id="11"/>
      <w:r w:rsidDel="00000000" w:rsidR="00000000" w:rsidRPr="00000000">
        <w:rPr>
          <w:b w:val="1"/>
          <w:sz w:val="20"/>
          <w:szCs w:val="20"/>
          <w:rtl w:val="0"/>
        </w:rPr>
        <w:t xml:space="preserve">User Documentation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Rule="auto"/>
        <w:ind w:left="720" w:firstLine="0"/>
        <w:contextualSpacing w:val="0"/>
        <w:rPr>
          <w:sz w:val="20"/>
          <w:szCs w:val="20"/>
        </w:rPr>
      </w:pPr>
      <w:r w:rsidDel="00000000" w:rsidR="00000000" w:rsidRPr="00000000">
        <w:rPr>
          <w:sz w:val="20"/>
          <w:szCs w:val="20"/>
          <w:rtl w:val="0"/>
        </w:rPr>
        <w:t xml:space="preserve">TBD</w:t>
      </w:r>
    </w:p>
    <w:p w:rsidR="00000000" w:rsidDel="00000000" w:rsidP="00000000" w:rsidRDefault="00000000" w:rsidRPr="00000000">
      <w:pPr>
        <w:pStyle w:val="Heading2"/>
        <w:numPr>
          <w:ilvl w:val="1"/>
          <w:numId w:val="1"/>
        </w:num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1"/>
        <w:rPr>
          <w:b w:val="1"/>
          <w:sz w:val="20"/>
          <w:szCs w:val="20"/>
        </w:rPr>
      </w:pPr>
      <w:bookmarkStart w:colFirst="0" w:colLast="0" w:name="_zihp5vlizu5" w:id="12"/>
      <w:bookmarkEnd w:id="12"/>
      <w:r w:rsidDel="00000000" w:rsidR="00000000" w:rsidRPr="00000000">
        <w:rPr>
          <w:b w:val="1"/>
          <w:sz w:val="20"/>
          <w:szCs w:val="20"/>
          <w:rtl w:val="0"/>
        </w:rPr>
        <w:t xml:space="preserve">Assumptions and Dependencies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Rule="auto"/>
        <w:ind w:left="720" w:firstLine="0"/>
        <w:contextualSpacing w:val="0"/>
        <w:rPr>
          <w:sz w:val="20"/>
          <w:szCs w:val="20"/>
        </w:rPr>
      </w:pPr>
      <w:r w:rsidDel="00000000" w:rsidR="00000000" w:rsidRPr="00000000">
        <w:rPr>
          <w:sz w:val="20"/>
          <w:szCs w:val="20"/>
          <w:rtl w:val="0"/>
        </w:rPr>
        <w:t xml:space="preserve">TBD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Rule="auto"/>
        <w:ind w:left="720" w:firstLine="0"/>
        <w:contextualSpacing w:val="0"/>
        <w:rPr>
          <w:sz w:val="20"/>
          <w:szCs w:val="20"/>
        </w:rPr>
      </w:pPr>
      <w:r w:rsidDel="00000000" w:rsidR="00000000" w:rsidRPr="00000000">
        <w:rPr>
          <w:rtl w:val="0"/>
        </w:rPr>
      </w:r>
    </w:p>
    <w:p w:rsidR="00000000" w:rsidDel="00000000" w:rsidP="00000000" w:rsidRDefault="00000000" w:rsidRPr="00000000">
      <w:pPr>
        <w:pStyle w:val="Heading1"/>
        <w:numPr>
          <w:ilvl w:val="0"/>
          <w:numId w:val="1"/>
        </w:numPr>
        <w:pBdr>
          <w:top w:space="0" w:sz="0" w:val="nil"/>
          <w:left w:space="0" w:sz="0" w:val="nil"/>
          <w:bottom w:space="0" w:sz="0" w:val="nil"/>
          <w:right w:space="0" w:sz="0" w:val="nil"/>
          <w:between w:space="0" w:sz="0" w:val="nil"/>
        </w:pBdr>
        <w:shd w:fill="auto" w:val="clear"/>
        <w:spacing w:after="100" w:before="160" w:line="240" w:lineRule="auto"/>
        <w:contextualSpacing w:val="1"/>
        <w:rPr>
          <w:b w:val="1"/>
          <w:sz w:val="20"/>
          <w:szCs w:val="20"/>
        </w:rPr>
      </w:pPr>
      <w:bookmarkStart w:colFirst="0" w:colLast="0" w:name="_2et92p0" w:id="13"/>
      <w:bookmarkEnd w:id="13"/>
      <w:r w:rsidDel="00000000" w:rsidR="00000000" w:rsidRPr="00000000">
        <w:rPr>
          <w:b w:val="1"/>
          <w:sz w:val="20"/>
          <w:szCs w:val="20"/>
          <w:rtl w:val="0"/>
        </w:rPr>
        <w:t xml:space="preserve">External Interface Requirements</w:t>
        <w:br w:type="textWrapping"/>
      </w:r>
    </w:p>
    <w:p w:rsidR="00000000" w:rsidDel="00000000" w:rsidP="00000000" w:rsidRDefault="00000000" w:rsidRPr="00000000">
      <w:pPr>
        <w:pStyle w:val="Heading2"/>
        <w:numPr>
          <w:ilvl w:val="1"/>
          <w:numId w:val="1"/>
        </w:num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1"/>
        <w:rPr>
          <w:b w:val="1"/>
          <w:sz w:val="20"/>
          <w:szCs w:val="20"/>
        </w:rPr>
      </w:pPr>
      <w:bookmarkStart w:colFirst="0" w:colLast="0" w:name="_tyjcwt" w:id="14"/>
      <w:bookmarkEnd w:id="14"/>
      <w:r w:rsidDel="00000000" w:rsidR="00000000" w:rsidRPr="00000000">
        <w:rPr>
          <w:b w:val="1"/>
          <w:sz w:val="20"/>
          <w:szCs w:val="20"/>
          <w:rtl w:val="0"/>
        </w:rPr>
        <w:t xml:space="preserve">User Interfaces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pPr>
      <w:bookmarkStart w:colFirst="0" w:colLast="0" w:name="_3dy6vkm" w:id="15"/>
      <w:bookmarkEnd w:id="15"/>
      <w:r w:rsidDel="00000000" w:rsidR="00000000" w:rsidRPr="00000000">
        <w:rPr>
          <w:sz w:val="20"/>
          <w:szCs w:val="20"/>
          <w:rtl w:val="0"/>
        </w:rPr>
        <w:t xml:space="preserve">TBD</w:t>
      </w:r>
      <w:r w:rsidDel="00000000" w:rsidR="00000000" w:rsidRPr="00000000">
        <w:rPr>
          <w:rtl w:val="0"/>
        </w:rPr>
      </w:r>
    </w:p>
    <w:p w:rsidR="00000000" w:rsidDel="00000000" w:rsidP="00000000" w:rsidRDefault="00000000" w:rsidRPr="00000000">
      <w:pPr>
        <w:pStyle w:val="Heading2"/>
        <w:numPr>
          <w:ilvl w:val="1"/>
          <w:numId w:val="1"/>
        </w:num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1"/>
        <w:rPr>
          <w:b w:val="1"/>
          <w:sz w:val="20"/>
          <w:szCs w:val="20"/>
        </w:rPr>
      </w:pPr>
      <w:r w:rsidDel="00000000" w:rsidR="00000000" w:rsidRPr="00000000">
        <w:rPr>
          <w:b w:val="1"/>
          <w:sz w:val="20"/>
          <w:szCs w:val="20"/>
          <w:rtl w:val="0"/>
        </w:rPr>
        <w:t xml:space="preserve">Hardware Interfaces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pPr>
      <w:bookmarkStart w:colFirst="0" w:colLast="0" w:name="_1t3h5sf" w:id="16"/>
      <w:bookmarkEnd w:id="16"/>
      <w:r w:rsidDel="00000000" w:rsidR="00000000" w:rsidRPr="00000000">
        <w:rPr>
          <w:sz w:val="20"/>
          <w:szCs w:val="20"/>
          <w:rtl w:val="0"/>
        </w:rPr>
        <w:t xml:space="preserve">TBD</w:t>
      </w:r>
      <w:r w:rsidDel="00000000" w:rsidR="00000000" w:rsidRPr="00000000">
        <w:rPr>
          <w:rtl w:val="0"/>
        </w:rPr>
      </w:r>
    </w:p>
    <w:p w:rsidR="00000000" w:rsidDel="00000000" w:rsidP="00000000" w:rsidRDefault="00000000" w:rsidRPr="00000000">
      <w:pPr>
        <w:pStyle w:val="Heading2"/>
        <w:numPr>
          <w:ilvl w:val="1"/>
          <w:numId w:val="1"/>
        </w:num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1"/>
        <w:rPr>
          <w:b w:val="1"/>
          <w:sz w:val="20"/>
          <w:szCs w:val="20"/>
        </w:rPr>
      </w:pPr>
      <w:r w:rsidDel="00000000" w:rsidR="00000000" w:rsidRPr="00000000">
        <w:rPr>
          <w:b w:val="1"/>
          <w:sz w:val="20"/>
          <w:szCs w:val="20"/>
          <w:rtl w:val="0"/>
        </w:rPr>
        <w:t xml:space="preserve">Software Interfaces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pPr>
      <w:bookmarkStart w:colFirst="0" w:colLast="0" w:name="_4d34og8" w:id="17"/>
      <w:bookmarkEnd w:id="17"/>
      <w:r w:rsidDel="00000000" w:rsidR="00000000" w:rsidRPr="00000000">
        <w:rPr>
          <w:sz w:val="20"/>
          <w:szCs w:val="20"/>
          <w:rtl w:val="0"/>
        </w:rPr>
        <w:t xml:space="preserve">TBD</w:t>
      </w:r>
      <w:r w:rsidDel="00000000" w:rsidR="00000000" w:rsidRPr="00000000">
        <w:rPr>
          <w:rtl w:val="0"/>
        </w:rPr>
      </w:r>
    </w:p>
    <w:p w:rsidR="00000000" w:rsidDel="00000000" w:rsidP="00000000" w:rsidRDefault="00000000" w:rsidRPr="00000000">
      <w:pPr>
        <w:pStyle w:val="Heading2"/>
        <w:numPr>
          <w:ilvl w:val="1"/>
          <w:numId w:val="1"/>
        </w:num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1"/>
        <w:rPr>
          <w:b w:val="1"/>
          <w:sz w:val="20"/>
          <w:szCs w:val="20"/>
        </w:rPr>
      </w:pPr>
      <w:r w:rsidDel="00000000" w:rsidR="00000000" w:rsidRPr="00000000">
        <w:rPr>
          <w:b w:val="1"/>
          <w:sz w:val="20"/>
          <w:szCs w:val="20"/>
          <w:rtl w:val="0"/>
        </w:rPr>
        <w:t xml:space="preserve">Communications Interfaces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pPr>
      <w:bookmarkStart w:colFirst="0" w:colLast="0" w:name="_2s8eyo1" w:id="18"/>
      <w:bookmarkEnd w:id="18"/>
      <w:r w:rsidDel="00000000" w:rsidR="00000000" w:rsidRPr="00000000">
        <w:rPr>
          <w:sz w:val="20"/>
          <w:szCs w:val="20"/>
          <w:rtl w:val="0"/>
        </w:rPr>
        <w:t xml:space="preserve">TBD</w:t>
      </w:r>
      <w:r w:rsidDel="00000000" w:rsidR="00000000" w:rsidRPr="00000000">
        <w:rPr>
          <w:rtl w:val="0"/>
        </w:rPr>
      </w:r>
    </w:p>
    <w:p w:rsidR="00000000" w:rsidDel="00000000" w:rsidP="00000000" w:rsidRDefault="00000000" w:rsidRPr="00000000">
      <w:pPr>
        <w:pStyle w:val="Heading1"/>
        <w:numPr>
          <w:ilvl w:val="0"/>
          <w:numId w:val="1"/>
        </w:numPr>
        <w:pBdr>
          <w:top w:space="0" w:sz="0" w:val="nil"/>
          <w:left w:space="0" w:sz="0" w:val="nil"/>
          <w:bottom w:space="0" w:sz="0" w:val="nil"/>
          <w:right w:space="0" w:sz="0" w:val="nil"/>
          <w:between w:space="0" w:sz="0" w:val="nil"/>
        </w:pBdr>
        <w:shd w:fill="auto" w:val="clear"/>
        <w:spacing w:after="100" w:before="160" w:line="240" w:lineRule="auto"/>
        <w:contextualSpacing w:val="1"/>
        <w:rPr>
          <w:b w:val="1"/>
          <w:sz w:val="20"/>
          <w:szCs w:val="20"/>
        </w:rPr>
      </w:pPr>
      <w:r w:rsidDel="00000000" w:rsidR="00000000" w:rsidRPr="00000000">
        <w:rPr>
          <w:b w:val="1"/>
          <w:sz w:val="20"/>
          <w:szCs w:val="20"/>
          <w:rtl w:val="0"/>
        </w:rPr>
        <w:t xml:space="preserve">System Features</w:t>
        <w:br w:type="textWrapping"/>
      </w:r>
    </w:p>
    <w:p w:rsidR="00000000" w:rsidDel="00000000" w:rsidP="00000000" w:rsidRDefault="00000000" w:rsidRPr="00000000">
      <w:pPr>
        <w:pStyle w:val="Heading2"/>
        <w:numPr>
          <w:ilvl w:val="1"/>
          <w:numId w:val="1"/>
        </w:num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1"/>
        <w:rPr>
          <w:b w:val="1"/>
          <w:sz w:val="20"/>
          <w:szCs w:val="20"/>
        </w:rPr>
      </w:pPr>
      <w:r w:rsidDel="00000000" w:rsidR="00000000" w:rsidRPr="00000000">
        <w:rPr>
          <w:sz w:val="20"/>
          <w:szCs w:val="20"/>
          <w:rtl w:val="0"/>
        </w:rPr>
        <w:t xml:space="preserve">TBD</w:t>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spacing w:after="100" w:before="160" w:line="240" w:lineRule="auto"/>
        <w:contextualSpacing w:val="0"/>
        <w:rPr>
          <w:b w:val="1"/>
          <w:sz w:val="20"/>
          <w:szCs w:val="20"/>
        </w:rPr>
      </w:pPr>
      <w:bookmarkStart w:colFirst="0" w:colLast="0" w:name="_rro77qpppyoq" w:id="19"/>
      <w:bookmarkEnd w:id="19"/>
      <w:r w:rsidDel="00000000" w:rsidR="00000000" w:rsidRPr="00000000">
        <w:rPr>
          <w:rtl w:val="0"/>
        </w:rPr>
      </w:r>
    </w:p>
    <w:p w:rsidR="00000000" w:rsidDel="00000000" w:rsidP="00000000" w:rsidRDefault="00000000" w:rsidRPr="00000000">
      <w:pPr>
        <w:pStyle w:val="Heading1"/>
        <w:numPr>
          <w:ilvl w:val="0"/>
          <w:numId w:val="1"/>
        </w:numPr>
        <w:pBdr>
          <w:top w:space="0" w:sz="0" w:val="nil"/>
          <w:left w:space="0" w:sz="0" w:val="nil"/>
          <w:bottom w:space="0" w:sz="0" w:val="nil"/>
          <w:right w:space="0" w:sz="0" w:val="nil"/>
          <w:between w:space="0" w:sz="0" w:val="nil"/>
        </w:pBdr>
        <w:shd w:fill="auto" w:val="clear"/>
        <w:spacing w:after="100" w:before="160" w:line="240" w:lineRule="auto"/>
        <w:contextualSpacing w:val="1"/>
        <w:rPr>
          <w:b w:val="1"/>
          <w:sz w:val="20"/>
          <w:szCs w:val="20"/>
        </w:rPr>
      </w:pPr>
      <w:bookmarkStart w:colFirst="0" w:colLast="0" w:name="_17dp8vu" w:id="20"/>
      <w:bookmarkEnd w:id="20"/>
      <w:r w:rsidDel="00000000" w:rsidR="00000000" w:rsidRPr="00000000">
        <w:rPr>
          <w:b w:val="1"/>
          <w:sz w:val="20"/>
          <w:szCs w:val="20"/>
          <w:rtl w:val="0"/>
        </w:rPr>
        <w:t xml:space="preserve">Other Nonfunctional Requirements</w:t>
        <w:br w:type="textWrapping"/>
      </w:r>
    </w:p>
    <w:p w:rsidR="00000000" w:rsidDel="00000000" w:rsidP="00000000" w:rsidRDefault="00000000" w:rsidRPr="00000000">
      <w:pPr>
        <w:pStyle w:val="Heading2"/>
        <w:numPr>
          <w:ilvl w:val="1"/>
          <w:numId w:val="1"/>
        </w:num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1"/>
        <w:rPr>
          <w:b w:val="1"/>
          <w:sz w:val="20"/>
          <w:szCs w:val="20"/>
        </w:rPr>
      </w:pPr>
      <w:bookmarkStart w:colFirst="0" w:colLast="0" w:name="_3rdcrjn" w:id="21"/>
      <w:bookmarkEnd w:id="21"/>
      <w:r w:rsidDel="00000000" w:rsidR="00000000" w:rsidRPr="00000000">
        <w:rPr>
          <w:b w:val="1"/>
          <w:sz w:val="20"/>
          <w:szCs w:val="20"/>
          <w:rtl w:val="0"/>
        </w:rPr>
        <w:t xml:space="preserve">Performance Requirements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pPr>
      <w:bookmarkStart w:colFirst="0" w:colLast="0" w:name="_26in1rg" w:id="22"/>
      <w:bookmarkEnd w:id="22"/>
      <w:r w:rsidDel="00000000" w:rsidR="00000000" w:rsidRPr="00000000">
        <w:rPr>
          <w:sz w:val="20"/>
          <w:szCs w:val="20"/>
          <w:rtl w:val="0"/>
        </w:rPr>
        <w:t xml:space="preserve">TBD</w:t>
      </w:r>
      <w:r w:rsidDel="00000000" w:rsidR="00000000" w:rsidRPr="00000000">
        <w:rPr>
          <w:rtl w:val="0"/>
        </w:rPr>
      </w:r>
    </w:p>
    <w:p w:rsidR="00000000" w:rsidDel="00000000" w:rsidP="00000000" w:rsidRDefault="00000000" w:rsidRPr="00000000">
      <w:pPr>
        <w:pStyle w:val="Heading2"/>
        <w:numPr>
          <w:ilvl w:val="1"/>
          <w:numId w:val="1"/>
        </w:num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1"/>
        <w:rPr>
          <w:b w:val="1"/>
          <w:sz w:val="20"/>
          <w:szCs w:val="20"/>
        </w:rPr>
      </w:pPr>
      <w:r w:rsidDel="00000000" w:rsidR="00000000" w:rsidRPr="00000000">
        <w:rPr>
          <w:b w:val="1"/>
          <w:sz w:val="20"/>
          <w:szCs w:val="20"/>
          <w:rtl w:val="0"/>
        </w:rPr>
        <w:t xml:space="preserve">Security Requirements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pPr>
      <w:bookmarkStart w:colFirst="0" w:colLast="0" w:name="_lnxbz9" w:id="23"/>
      <w:bookmarkEnd w:id="23"/>
      <w:r w:rsidDel="00000000" w:rsidR="00000000" w:rsidRPr="00000000">
        <w:rPr>
          <w:sz w:val="20"/>
          <w:szCs w:val="20"/>
          <w:rtl w:val="0"/>
        </w:rPr>
        <w:t xml:space="preserve">TBD</w:t>
      </w:r>
      <w:r w:rsidDel="00000000" w:rsidR="00000000" w:rsidRPr="00000000">
        <w:rPr>
          <w:rtl w:val="0"/>
        </w:rPr>
      </w:r>
    </w:p>
    <w:p w:rsidR="00000000" w:rsidDel="00000000" w:rsidP="00000000" w:rsidRDefault="00000000" w:rsidRPr="00000000">
      <w:pPr>
        <w:pStyle w:val="Heading2"/>
        <w:numPr>
          <w:ilvl w:val="1"/>
          <w:numId w:val="1"/>
        </w:num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1"/>
        <w:rPr>
          <w:b w:val="1"/>
          <w:sz w:val="20"/>
          <w:szCs w:val="20"/>
        </w:rPr>
      </w:pPr>
      <w:r w:rsidDel="00000000" w:rsidR="00000000" w:rsidRPr="00000000">
        <w:rPr>
          <w:b w:val="1"/>
          <w:sz w:val="20"/>
          <w:szCs w:val="20"/>
          <w:rtl w:val="0"/>
        </w:rPr>
        <w:t xml:space="preserve">Software Quality Attributes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pPr>
      <w:bookmarkStart w:colFirst="0" w:colLast="0" w:name="_35nkun2" w:id="24"/>
      <w:bookmarkEnd w:id="24"/>
      <w:r w:rsidDel="00000000" w:rsidR="00000000" w:rsidRPr="00000000">
        <w:rPr>
          <w:sz w:val="20"/>
          <w:szCs w:val="20"/>
          <w:rtl w:val="0"/>
        </w:rPr>
        <w:t xml:space="preserve">TBD</w:t>
      </w:r>
      <w:r w:rsidDel="00000000" w:rsidR="00000000" w:rsidRPr="00000000">
        <w:rPr>
          <w:rtl w:val="0"/>
        </w:rPr>
      </w:r>
    </w:p>
    <w:p w:rsidR="00000000" w:rsidDel="00000000" w:rsidP="00000000" w:rsidRDefault="00000000" w:rsidRPr="00000000">
      <w:pPr>
        <w:pStyle w:val="Heading2"/>
        <w:numPr>
          <w:ilvl w:val="1"/>
          <w:numId w:val="1"/>
        </w:num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1"/>
        <w:rPr>
          <w:b w:val="1"/>
          <w:sz w:val="20"/>
          <w:szCs w:val="20"/>
        </w:rPr>
      </w:pPr>
      <w:r w:rsidDel="00000000" w:rsidR="00000000" w:rsidRPr="00000000">
        <w:rPr>
          <w:b w:val="1"/>
          <w:sz w:val="20"/>
          <w:szCs w:val="20"/>
          <w:rtl w:val="0"/>
        </w:rPr>
        <w:t xml:space="preserve">Business Rules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sz w:val="20"/>
          <w:szCs w:val="20"/>
        </w:rPr>
      </w:pPr>
      <w:bookmarkStart w:colFirst="0" w:colLast="0" w:name="_iee8ddhj6g4x" w:id="25"/>
      <w:bookmarkEnd w:id="25"/>
      <w:r w:rsidDel="00000000" w:rsidR="00000000" w:rsidRPr="00000000">
        <w:rPr>
          <w:sz w:val="20"/>
          <w:szCs w:val="20"/>
          <w:rtl w:val="0"/>
        </w:rPr>
        <w:t xml:space="preserve">TBD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ind w:left="720" w:firstLine="0"/>
        <w:contextualSpacing w:val="0"/>
        <w:rPr>
          <w:sz w:val="20"/>
          <w:szCs w:val="20"/>
        </w:rPr>
      </w:pPr>
      <w:bookmarkStart w:colFirst="0" w:colLast="0" w:name="_1ksv4uv" w:id="26"/>
      <w:bookmarkEnd w:id="26"/>
      <w:r w:rsidDel="00000000" w:rsidR="00000000" w:rsidRPr="00000000">
        <w:rPr>
          <w:rtl w:val="0"/>
        </w:rPr>
      </w:r>
    </w:p>
    <w:p w:rsidR="00000000" w:rsidDel="00000000" w:rsidP="00000000" w:rsidRDefault="00000000" w:rsidRPr="00000000">
      <w:pPr>
        <w:pStyle w:val="Heading1"/>
        <w:numPr>
          <w:ilvl w:val="0"/>
          <w:numId w:val="1"/>
        </w:numPr>
        <w:pBdr>
          <w:top w:space="0" w:sz="0" w:val="nil"/>
          <w:left w:space="0" w:sz="0" w:val="nil"/>
          <w:bottom w:space="0" w:sz="0" w:val="nil"/>
          <w:right w:space="0" w:sz="0" w:val="nil"/>
          <w:between w:space="0" w:sz="0" w:val="nil"/>
        </w:pBdr>
        <w:shd w:fill="auto" w:val="clear"/>
        <w:spacing w:after="100" w:before="160" w:line="240" w:lineRule="auto"/>
        <w:contextualSpacing w:val="1"/>
        <w:rPr>
          <w:b w:val="1"/>
          <w:sz w:val="20"/>
          <w:szCs w:val="20"/>
        </w:rPr>
      </w:pPr>
      <w:r w:rsidDel="00000000" w:rsidR="00000000" w:rsidRPr="00000000">
        <w:rPr>
          <w:b w:val="1"/>
          <w:sz w:val="20"/>
          <w:szCs w:val="20"/>
          <w:rtl w:val="0"/>
        </w:rPr>
        <w:t xml:space="preserve">Other Requirements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contextualSpacing w:val="0"/>
        <w:rPr>
          <w:sz w:val="20"/>
          <w:szCs w:val="20"/>
        </w:rPr>
      </w:pPr>
      <w:bookmarkStart w:colFirst="0" w:colLast="0" w:name="_o7gynz1jxq2y" w:id="27"/>
      <w:bookmarkEnd w:id="27"/>
      <w:r w:rsidDel="00000000" w:rsidR="00000000" w:rsidRPr="00000000">
        <w:rPr>
          <w:sz w:val="20"/>
          <w:szCs w:val="20"/>
          <w:rtl w:val="0"/>
        </w:rPr>
        <w:t xml:space="preserve">TBD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contextualSpacing w:val="0"/>
        <w:rPr>
          <w:sz w:val="20"/>
          <w:szCs w:val="20"/>
        </w:rPr>
      </w:pPr>
      <w:bookmarkStart w:colFirst="0" w:colLast="0" w:name="_44sinio" w:id="28"/>
      <w:bookmarkEnd w:id="28"/>
      <w:r w:rsidDel="00000000" w:rsidR="00000000" w:rsidRPr="00000000">
        <w:rPr>
          <w:rtl w:val="0"/>
        </w:rPr>
      </w:r>
    </w:p>
    <w:p w:rsidR="00000000" w:rsidDel="00000000" w:rsidP="00000000" w:rsidRDefault="00000000" w:rsidRPr="00000000">
      <w:pPr>
        <w:keepNext w:val="1"/>
        <w:keepLines w:val="1"/>
        <w:pBdr>
          <w:top w:space="0" w:sz="0" w:val="nil"/>
          <w:left w:space="0" w:sz="0" w:val="nil"/>
          <w:bottom w:space="0" w:sz="0" w:val="nil"/>
          <w:right w:space="0" w:sz="0" w:val="nil"/>
          <w:between w:space="0" w:sz="0" w:val="nil"/>
        </w:pBdr>
        <w:shd w:fill="auto" w:val="clear"/>
        <w:spacing w:after="100" w:before="160" w:line="240" w:lineRule="auto"/>
        <w:contextualSpacing w:val="0"/>
        <w:rPr/>
      </w:pPr>
      <w:r w:rsidDel="00000000" w:rsidR="00000000" w:rsidRPr="00000000">
        <w:rPr>
          <w:b w:val="1"/>
          <w:sz w:val="20"/>
          <w:szCs w:val="20"/>
          <w:rtl w:val="0"/>
        </w:rPr>
        <w:t xml:space="preserve">Appendix A: Glossary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contextualSpacing w:val="0"/>
        <w:rPr>
          <w:sz w:val="20"/>
          <w:szCs w:val="20"/>
        </w:rPr>
      </w:pPr>
      <w:bookmarkStart w:colFirst="0" w:colLast="0" w:name="_asoj6inrci7" w:id="29"/>
      <w:bookmarkEnd w:id="29"/>
      <w:r w:rsidDel="00000000" w:rsidR="00000000" w:rsidRPr="00000000">
        <w:rPr>
          <w:sz w:val="20"/>
          <w:szCs w:val="20"/>
          <w:rtl w:val="0"/>
        </w:rPr>
        <w:t xml:space="preserve">TBD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contextualSpacing w:val="0"/>
        <w:rPr>
          <w:sz w:val="20"/>
          <w:szCs w:val="20"/>
        </w:rPr>
      </w:pPr>
      <w:bookmarkStart w:colFirst="0" w:colLast="0" w:name="_2jxsxqh" w:id="30"/>
      <w:bookmarkEnd w:id="30"/>
      <w:r w:rsidDel="00000000" w:rsidR="00000000" w:rsidRPr="00000000">
        <w:rPr>
          <w:rtl w:val="0"/>
        </w:rPr>
      </w:r>
    </w:p>
    <w:p w:rsidR="00000000" w:rsidDel="00000000" w:rsidP="00000000" w:rsidRDefault="00000000" w:rsidRPr="00000000">
      <w:pPr>
        <w:keepNext w:val="1"/>
        <w:keepLines w:val="1"/>
        <w:pBdr>
          <w:top w:space="0" w:sz="0" w:val="nil"/>
          <w:left w:space="0" w:sz="0" w:val="nil"/>
          <w:bottom w:space="0" w:sz="0" w:val="nil"/>
          <w:right w:space="0" w:sz="0" w:val="nil"/>
          <w:between w:space="0" w:sz="0" w:val="nil"/>
        </w:pBdr>
        <w:shd w:fill="auto" w:val="clear"/>
        <w:spacing w:after="100" w:before="160" w:line="240" w:lineRule="auto"/>
        <w:contextualSpacing w:val="0"/>
        <w:rPr/>
      </w:pPr>
      <w:r w:rsidDel="00000000" w:rsidR="00000000" w:rsidRPr="00000000">
        <w:rPr>
          <w:b w:val="1"/>
          <w:sz w:val="20"/>
          <w:szCs w:val="20"/>
          <w:rtl w:val="0"/>
        </w:rPr>
        <w:t xml:space="preserve">Appendix B: Analysis Models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contextualSpacing w:val="0"/>
        <w:rPr/>
      </w:pPr>
      <w:bookmarkStart w:colFirst="0" w:colLast="0" w:name="_z337ya" w:id="31"/>
      <w:bookmarkEnd w:id="31"/>
      <w:r w:rsidDel="00000000" w:rsidR="00000000" w:rsidRPr="00000000">
        <w:rPr>
          <w:sz w:val="20"/>
          <w:szCs w:val="20"/>
          <w:rtl w:val="0"/>
        </w:rPr>
        <w:t xml:space="preserve">TBD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contextualSpacing w:val="0"/>
        <w:rPr>
          <w:b w:val="1"/>
          <w:sz w:val="20"/>
          <w:szCs w:val="20"/>
        </w:rPr>
      </w:pPr>
      <w:bookmarkStart w:colFirst="0" w:colLast="0" w:name="_z337ya" w:id="31"/>
      <w:bookmarkEnd w:id="31"/>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60" w:line="240" w:lineRule="auto"/>
        <w:contextualSpacing w:val="0"/>
        <w:rPr/>
      </w:pPr>
      <w:r w:rsidDel="00000000" w:rsidR="00000000" w:rsidRPr="00000000">
        <w:rPr>
          <w:rtl w:val="0"/>
        </w:rPr>
      </w:r>
    </w:p>
    <w:sectPr>
      <w:headerReference r:id="rId14"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MS Mincho"/>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0" w:firstLine="0"/>
      </w:pPr>
      <w:rPr>
        <w:vertAlign w:val="baseline"/>
      </w:rPr>
    </w:lvl>
    <w:lvl w:ilvl="1">
      <w:start w:val="1"/>
      <w:numFmt w:val="decimal"/>
      <w:lvlText w:val="%1.%2"/>
      <w:lvlJc w:val="left"/>
      <w:pPr>
        <w:ind w:left="0" w:firstLine="0"/>
      </w:pPr>
      <w:rPr>
        <w:vertAlign w:val="baseline"/>
      </w:rPr>
    </w:lvl>
    <w:lvl w:ilvl="2">
      <w:start w:val="1"/>
      <w:numFmt w:val="decimal"/>
      <w:lvlText w:val="%1.%2.%3"/>
      <w:lvlJc w:val="left"/>
      <w:pPr>
        <w:ind w:left="0" w:firstLine="0"/>
      </w:pPr>
      <w:rPr>
        <w:vertAlign w:val="baseline"/>
      </w:rPr>
    </w:lvl>
    <w:lvl w:ilvl="3">
      <w:start w:val="1"/>
      <w:numFmt w:val="decimal"/>
      <w:lvlText w:val="%1.%2.%3.%4"/>
      <w:lvlJc w:val="left"/>
      <w:pPr>
        <w:ind w:left="0" w:firstLine="0"/>
      </w:pPr>
      <w:rPr>
        <w:vertAlign w:val="baseline"/>
      </w:rPr>
    </w:lvl>
    <w:lvl w:ilvl="4">
      <w:start w:val="1"/>
      <w:numFmt w:val="decimal"/>
      <w:lvlText w:val="%1.%2.%3.%4.%5"/>
      <w:lvlJc w:val="left"/>
      <w:pPr>
        <w:ind w:left="0" w:firstLine="0"/>
      </w:pPr>
      <w:rPr>
        <w:vertAlign w:val="baseline"/>
      </w:rPr>
    </w:lvl>
    <w:lvl w:ilvl="5">
      <w:start w:val="1"/>
      <w:numFmt w:val="decimal"/>
      <w:lvlText w:val="%1.%2.%3.%4.%5.%6"/>
      <w:lvlJc w:val="left"/>
      <w:pPr>
        <w:ind w:left="0" w:firstLine="0"/>
      </w:pPr>
      <w:rPr>
        <w:vertAlign w:val="baseline"/>
      </w:rPr>
    </w:lvl>
    <w:lvl w:ilvl="6">
      <w:start w:val="1"/>
      <w:numFmt w:val="decimal"/>
      <w:lvlText w:val="%1.%2.%3.%4.%5.%6.%7"/>
      <w:lvlJc w:val="left"/>
      <w:pPr>
        <w:ind w:left="0" w:firstLine="0"/>
      </w:pPr>
      <w:rPr>
        <w:vertAlign w:val="baseline"/>
      </w:rPr>
    </w:lvl>
    <w:lvl w:ilvl="7">
      <w:start w:val="1"/>
      <w:numFmt w:val="decimal"/>
      <w:lvlText w:val="%1.%2.%3.%4.%5.%6.%7.%8"/>
      <w:lvlJc w:val="left"/>
      <w:pPr>
        <w:ind w:left="0" w:firstLine="0"/>
      </w:pPr>
      <w:rPr>
        <w:vertAlign w:val="baseline"/>
      </w:rPr>
    </w:lvl>
    <w:lvl w:ilvl="8">
      <w:start w:val="1"/>
      <w:numFmt w:val="decimal"/>
      <w:lvlText w:val="%1.%2.%3.%4.%5.%6.%7.%8.%9"/>
      <w:lvlJc w:val="left"/>
      <w:pPr>
        <w:ind w:left="0" w:firstLine="0"/>
      </w:pPr>
      <w:rPr>
        <w:vertAlign w:val="baseline"/>
      </w:rPr>
    </w:lvl>
  </w:abstractNum>
  <w:abstractNum w:abstractNumId="2">
    <w:lvl w:ilvl="0">
      <w:start w:val="1"/>
      <w:numFmt w:val="bullet"/>
      <w:lvlText w:val="●"/>
      <w:lvlJc w:val="left"/>
      <w:pPr>
        <w:ind w:left="1440" w:firstLine="1080"/>
      </w:pPr>
      <w:rPr>
        <w:rFonts w:ascii="Arial" w:cs="Arial" w:eastAsia="Arial" w:hAnsi="Arial"/>
        <w:u w:val="none"/>
      </w:rPr>
    </w:lvl>
    <w:lvl w:ilvl="1">
      <w:start w:val="1"/>
      <w:numFmt w:val="bullet"/>
      <w:lvlText w:val="○"/>
      <w:lvlJc w:val="left"/>
      <w:pPr>
        <w:ind w:left="2160" w:firstLine="1800"/>
      </w:pPr>
      <w:rPr>
        <w:rFonts w:ascii="Arial" w:cs="Arial" w:eastAsia="Arial" w:hAnsi="Arial"/>
        <w:u w:val="none"/>
      </w:rPr>
    </w:lvl>
    <w:lvl w:ilvl="2">
      <w:start w:val="1"/>
      <w:numFmt w:val="bullet"/>
      <w:lvlText w:val="■"/>
      <w:lvlJc w:val="left"/>
      <w:pPr>
        <w:ind w:left="2880" w:firstLine="2520"/>
      </w:pPr>
      <w:rPr>
        <w:rFonts w:ascii="Arial" w:cs="Arial" w:eastAsia="Arial" w:hAnsi="Arial"/>
        <w:u w:val="none"/>
      </w:rPr>
    </w:lvl>
    <w:lvl w:ilvl="3">
      <w:start w:val="1"/>
      <w:numFmt w:val="bullet"/>
      <w:lvlText w:val="●"/>
      <w:lvlJc w:val="left"/>
      <w:pPr>
        <w:ind w:left="3600" w:firstLine="3240"/>
      </w:pPr>
      <w:rPr>
        <w:rFonts w:ascii="Arial" w:cs="Arial" w:eastAsia="Arial" w:hAnsi="Arial"/>
        <w:u w:val="none"/>
      </w:rPr>
    </w:lvl>
    <w:lvl w:ilvl="4">
      <w:start w:val="1"/>
      <w:numFmt w:val="bullet"/>
      <w:lvlText w:val="○"/>
      <w:lvlJc w:val="left"/>
      <w:pPr>
        <w:ind w:left="4320" w:firstLine="3960"/>
      </w:pPr>
      <w:rPr>
        <w:rFonts w:ascii="Arial" w:cs="Arial" w:eastAsia="Arial" w:hAnsi="Arial"/>
        <w:u w:val="none"/>
      </w:rPr>
    </w:lvl>
    <w:lvl w:ilvl="5">
      <w:start w:val="1"/>
      <w:numFmt w:val="bullet"/>
      <w:lvlText w:val="■"/>
      <w:lvlJc w:val="left"/>
      <w:pPr>
        <w:ind w:left="5040" w:firstLine="4680"/>
      </w:pPr>
      <w:rPr>
        <w:rFonts w:ascii="Arial" w:cs="Arial" w:eastAsia="Arial" w:hAnsi="Arial"/>
        <w:u w:val="none"/>
      </w:rPr>
    </w:lvl>
    <w:lvl w:ilvl="6">
      <w:start w:val="1"/>
      <w:numFmt w:val="bullet"/>
      <w:lvlText w:val="●"/>
      <w:lvlJc w:val="left"/>
      <w:pPr>
        <w:ind w:left="5760" w:firstLine="5400"/>
      </w:pPr>
      <w:rPr>
        <w:rFonts w:ascii="Arial" w:cs="Arial" w:eastAsia="Arial" w:hAnsi="Arial"/>
        <w:u w:val="none"/>
      </w:rPr>
    </w:lvl>
    <w:lvl w:ilvl="7">
      <w:start w:val="1"/>
      <w:numFmt w:val="bullet"/>
      <w:lvlText w:val="○"/>
      <w:lvlJc w:val="left"/>
      <w:pPr>
        <w:ind w:left="6480" w:firstLine="6120"/>
      </w:pPr>
      <w:rPr>
        <w:rFonts w:ascii="Arial" w:cs="Arial" w:eastAsia="Arial" w:hAnsi="Arial"/>
        <w:u w:val="none"/>
      </w:rPr>
    </w:lvl>
    <w:lvl w:ilvl="8">
      <w:start w:val="1"/>
      <w:numFmt w:val="bullet"/>
      <w:lvlText w:val="■"/>
      <w:lvlJc w:val="left"/>
      <w:pPr>
        <w:ind w:left="7200" w:firstLine="6840"/>
      </w:pPr>
      <w:rPr>
        <w:rFonts w:ascii="Arial" w:cs="Arial" w:eastAsia="Arial" w:hAnsi="Arial"/>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contextualSpacing w:val="0"/>
    </w:pPr>
    <w:rPr>
      <w:rFonts w:ascii="Arial" w:cs="Arial" w:eastAsia="Arial" w:hAnsi="Arial"/>
      <w:b w:val="0"/>
      <w:color w:val="000000"/>
      <w:sz w:val="40"/>
      <w:szCs w:val="40"/>
    </w:rPr>
  </w:style>
  <w:style w:type="paragraph" w:styleId="Heading2">
    <w:name w:val="heading 2"/>
    <w:basedOn w:val="Normal"/>
    <w:next w:val="Normal"/>
    <w:pPr>
      <w:keepNext w:val="1"/>
      <w:keepLines w:val="1"/>
      <w:spacing w:after="120" w:before="360" w:line="276" w:lineRule="auto"/>
      <w:contextualSpacing w:val="0"/>
    </w:pPr>
    <w:rPr>
      <w:rFonts w:ascii="Arial" w:cs="Arial" w:eastAsia="Arial" w:hAnsi="Arial"/>
      <w:b w:val="0"/>
      <w:color w:val="000000"/>
      <w:sz w:val="32"/>
      <w:szCs w:val="32"/>
    </w:rPr>
  </w:style>
  <w:style w:type="paragraph" w:styleId="Heading3">
    <w:name w:val="heading 3"/>
    <w:basedOn w:val="Normal"/>
    <w:next w:val="Normal"/>
    <w:pPr>
      <w:keepNext w:val="1"/>
      <w:keepLines w:val="1"/>
      <w:spacing w:after="80" w:before="320" w:line="276" w:lineRule="auto"/>
      <w:contextualSpacing w:val="0"/>
    </w:pPr>
    <w:rPr>
      <w:rFonts w:ascii="Arial" w:cs="Arial" w:eastAsia="Arial" w:hAnsi="Arial"/>
      <w:b w:val="0"/>
      <w:color w:val="434343"/>
      <w:sz w:val="28"/>
      <w:szCs w:val="28"/>
    </w:rPr>
  </w:style>
  <w:style w:type="paragraph" w:styleId="Heading4">
    <w:name w:val="heading 4"/>
    <w:basedOn w:val="Normal"/>
    <w:next w:val="Normal"/>
    <w:pPr>
      <w:keepNext w:val="1"/>
      <w:keepLines w:val="1"/>
      <w:spacing w:after="80" w:before="280" w:line="276" w:lineRule="auto"/>
      <w:contextualSpacing w:val="0"/>
    </w:pPr>
    <w:rPr>
      <w:rFonts w:ascii="Arial" w:cs="Arial" w:eastAsia="Arial" w:hAnsi="Arial"/>
      <w:b w:val="0"/>
      <w:color w:val="666666"/>
      <w:sz w:val="24"/>
      <w:szCs w:val="24"/>
    </w:rPr>
  </w:style>
  <w:style w:type="paragraph" w:styleId="Heading5">
    <w:name w:val="heading 5"/>
    <w:basedOn w:val="Normal"/>
    <w:next w:val="Normal"/>
    <w:pPr>
      <w:keepNext w:val="1"/>
      <w:keepLines w:val="1"/>
      <w:spacing w:after="80" w:before="240" w:line="276" w:lineRule="auto"/>
      <w:contextualSpacing w:val="0"/>
    </w:pPr>
    <w:rPr>
      <w:rFonts w:ascii="Arial" w:cs="Arial" w:eastAsia="Arial" w:hAnsi="Arial"/>
      <w:b w:val="0"/>
      <w:color w:val="666666"/>
      <w:sz w:val="22"/>
      <w:szCs w:val="22"/>
    </w:rPr>
  </w:style>
  <w:style w:type="paragraph" w:styleId="Heading6">
    <w:name w:val="heading 6"/>
    <w:basedOn w:val="Normal"/>
    <w:next w:val="Normal"/>
    <w:pPr>
      <w:keepNext w:val="1"/>
      <w:keepLines w:val="1"/>
      <w:spacing w:after="80" w:before="240" w:line="276" w:lineRule="auto"/>
      <w:contextualSpacing w:val="0"/>
    </w:pPr>
    <w:rPr>
      <w:rFonts w:ascii="Arial" w:cs="Arial" w:eastAsia="Arial" w:hAnsi="Arial"/>
      <w:b w:val="0"/>
      <w:i w:val="1"/>
      <w:color w:val="666666"/>
      <w:sz w:val="22"/>
      <w:szCs w:val="22"/>
    </w:rPr>
  </w:style>
  <w:style w:type="paragraph" w:styleId="Title">
    <w:name w:val="Title"/>
    <w:basedOn w:val="Normal"/>
    <w:next w:val="Normal"/>
    <w:pPr>
      <w:keepNext w:val="1"/>
      <w:keepLines w:val="1"/>
      <w:spacing w:after="60" w:before="0" w:line="276" w:lineRule="auto"/>
      <w:contextualSpacing w:val="0"/>
    </w:pPr>
    <w:rPr>
      <w:rFonts w:ascii="Arial" w:cs="Arial" w:eastAsia="Arial" w:hAnsi="Arial"/>
      <w:b w:val="0"/>
      <w:color w:val="000000"/>
      <w:sz w:val="52"/>
      <w:szCs w:val="52"/>
    </w:rPr>
  </w:style>
  <w:style w:type="paragraph" w:styleId="Subtitle">
    <w:name w:val="Subtitle"/>
    <w:basedOn w:val="Normal"/>
    <w:next w:val="Normal"/>
    <w:pPr>
      <w:keepNext w:val="1"/>
      <w:keepLines w:val="1"/>
      <w:spacing w:after="320" w:before="0" w:line="276" w:lineRule="auto"/>
      <w:contextualSpacing w:val="0"/>
    </w:pPr>
    <w:rPr>
      <w:rFonts w:ascii="Arial" w:cs="Arial" w:eastAsia="Arial" w:hAnsi="Arial"/>
      <w:b w:val="0"/>
      <w:i w:val="1"/>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5.png"/><Relationship Id="rId13" Type="http://schemas.openxmlformats.org/officeDocument/2006/relationships/image" Target="media/image11.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dropbox.com/s/lkeyqbymaluans9/20160615_IONISx_Open_edX_Adaptive_Working_Group.pdf?dl=0" TargetMode="External"/><Relationship Id="rId7" Type="http://schemas.openxmlformats.org/officeDocument/2006/relationships/hyperlink" Target="https://drive.google.com/file/d/0B40CP7z5y61QTDktMWNFam53SkU/view?usp=sharing_eid&amp;ts=577d341f" TargetMode="External"/><Relationship Id="rId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